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F71FF" w14:textId="77777777" w:rsidR="00E76B27" w:rsidRDefault="00563346" w:rsidP="00CB73B3">
      <w:pPr>
        <w:spacing w:line="276" w:lineRule="auto"/>
        <w:jc w:val="center"/>
        <w:rPr>
          <w:rFonts w:ascii="Times New Roman" w:hAnsi="Times New Roman" w:cs="Times New Roman"/>
          <w:b/>
          <w:i/>
          <w:sz w:val="28"/>
          <w:szCs w:val="28"/>
        </w:rPr>
      </w:pPr>
      <w:bookmarkStart w:id="0" w:name="_GoBack"/>
      <w:bookmarkEnd w:id="0"/>
      <w:r w:rsidRPr="00CA3060">
        <w:rPr>
          <w:rFonts w:ascii="Times New Roman" w:hAnsi="Times New Roman" w:cs="Times New Roman"/>
          <w:b/>
          <w:sz w:val="28"/>
          <w:szCs w:val="28"/>
        </w:rPr>
        <w:t xml:space="preserve">Pengaturan Tindak Pidana Bagi Pelaku Tindak Pidana Penipuan Secara Online Berupa </w:t>
      </w:r>
      <w:r w:rsidRPr="00CA3060">
        <w:rPr>
          <w:rFonts w:ascii="Times New Roman" w:hAnsi="Times New Roman" w:cs="Times New Roman"/>
          <w:b/>
          <w:i/>
          <w:sz w:val="28"/>
          <w:szCs w:val="28"/>
        </w:rPr>
        <w:t>Phising.</w:t>
      </w:r>
      <w:r w:rsidR="00F0706D">
        <w:rPr>
          <w:rStyle w:val="CommentReference"/>
        </w:rPr>
        <w:commentReference w:id="1"/>
      </w:r>
    </w:p>
    <w:p w14:paraId="0214FB50" w14:textId="77777777" w:rsidR="00CA3060" w:rsidRPr="00CA3060" w:rsidRDefault="00CA3060" w:rsidP="00CB73B3">
      <w:pPr>
        <w:spacing w:line="276" w:lineRule="auto"/>
        <w:jc w:val="center"/>
        <w:rPr>
          <w:rFonts w:ascii="Times New Roman" w:hAnsi="Times New Roman" w:cs="Times New Roman"/>
          <w:b/>
          <w:sz w:val="28"/>
          <w:szCs w:val="28"/>
        </w:rPr>
      </w:pPr>
    </w:p>
    <w:p w14:paraId="79F9DDF6" w14:textId="77777777" w:rsidR="00FC5E0B" w:rsidRPr="00473030" w:rsidRDefault="00CA3060" w:rsidP="00473030">
      <w:pPr>
        <w:spacing w:after="0" w:line="276" w:lineRule="auto"/>
        <w:ind w:left="360"/>
        <w:jc w:val="center"/>
        <w:rPr>
          <w:rFonts w:ascii="Times New Roman" w:hAnsi="Times New Roman" w:cs="Times New Roman"/>
          <w:b/>
          <w:sz w:val="24"/>
          <w:szCs w:val="24"/>
        </w:rPr>
      </w:pPr>
      <w:r w:rsidRPr="00473030">
        <w:rPr>
          <w:rFonts w:ascii="Times New Roman" w:hAnsi="Times New Roman" w:cs="Times New Roman"/>
          <w:b/>
          <w:sz w:val="24"/>
          <w:szCs w:val="24"/>
        </w:rPr>
        <w:t>Faiz Emery Muhammad</w:t>
      </w:r>
      <w:r w:rsidR="00EE01E8" w:rsidRPr="00473030">
        <w:rPr>
          <w:rFonts w:ascii="Times New Roman" w:hAnsi="Times New Roman" w:cs="Times New Roman"/>
          <w:b/>
          <w:sz w:val="24"/>
          <w:szCs w:val="24"/>
        </w:rPr>
        <w:t>, Beniharmoni Harefa</w:t>
      </w:r>
    </w:p>
    <w:p w14:paraId="01C52587" w14:textId="77777777" w:rsidR="00CA3060" w:rsidRDefault="00CA3060" w:rsidP="00CB73B3">
      <w:pPr>
        <w:spacing w:after="0" w:line="276" w:lineRule="auto"/>
        <w:jc w:val="center"/>
        <w:rPr>
          <w:rFonts w:ascii="Times New Roman" w:hAnsi="Times New Roman" w:cs="Times New Roman"/>
          <w:sz w:val="20"/>
          <w:szCs w:val="20"/>
          <w:lang w:val="id"/>
        </w:rPr>
      </w:pPr>
      <w:r w:rsidRPr="00DB3641">
        <w:rPr>
          <w:rFonts w:ascii="Times New Roman" w:hAnsi="Times New Roman" w:cs="Times New Roman"/>
          <w:sz w:val="20"/>
          <w:szCs w:val="20"/>
          <w:lang w:val="id"/>
        </w:rPr>
        <w:t>Fakultas Hukum, Universitas Pembangunan Nasional “Veteran” Jakarta, Indonesia</w:t>
      </w:r>
    </w:p>
    <w:p w14:paraId="033D5987" w14:textId="77777777" w:rsidR="00DB3641" w:rsidRDefault="00066F71" w:rsidP="00CB73B3">
      <w:pPr>
        <w:spacing w:after="0" w:line="276" w:lineRule="auto"/>
        <w:jc w:val="center"/>
        <w:rPr>
          <w:rFonts w:ascii="Times New Roman" w:hAnsi="Times New Roman" w:cs="Times New Roman"/>
          <w:sz w:val="20"/>
          <w:szCs w:val="20"/>
        </w:rPr>
      </w:pPr>
      <w:hyperlink r:id="rId10" w:history="1">
        <w:r w:rsidR="00DB3641" w:rsidRPr="005525A0">
          <w:rPr>
            <w:rStyle w:val="Hyperlink"/>
            <w:rFonts w:ascii="Times New Roman" w:hAnsi="Times New Roman" w:cs="Times New Roman"/>
            <w:sz w:val="20"/>
            <w:szCs w:val="20"/>
          </w:rPr>
          <w:t>faizemery@gmail.com</w:t>
        </w:r>
      </w:hyperlink>
    </w:p>
    <w:p w14:paraId="63A04D56" w14:textId="77777777" w:rsidR="00DB3641" w:rsidRDefault="00DB3641" w:rsidP="00CB73B3">
      <w:pPr>
        <w:spacing w:after="0" w:line="276" w:lineRule="auto"/>
        <w:jc w:val="center"/>
        <w:rPr>
          <w:rFonts w:ascii="Times New Roman" w:hAnsi="Times New Roman" w:cs="Times New Roman"/>
          <w:sz w:val="20"/>
          <w:szCs w:val="20"/>
        </w:rPr>
      </w:pPr>
    </w:p>
    <w:p w14:paraId="17C3BD0C" w14:textId="77777777" w:rsidR="00DB3641" w:rsidRDefault="00DB3641" w:rsidP="00CB73B3">
      <w:pPr>
        <w:spacing w:after="0" w:line="276" w:lineRule="auto"/>
        <w:jc w:val="center"/>
        <w:rPr>
          <w:rFonts w:ascii="Times New Roman" w:hAnsi="Times New Roman" w:cs="Times New Roman"/>
          <w:sz w:val="20"/>
          <w:szCs w:val="20"/>
        </w:rPr>
      </w:pPr>
    </w:p>
    <w:p w14:paraId="4B383B44" w14:textId="77777777" w:rsidR="00DB3641" w:rsidRDefault="00DB3641" w:rsidP="00CB73B3">
      <w:pPr>
        <w:spacing w:after="0" w:line="276" w:lineRule="auto"/>
        <w:jc w:val="center"/>
        <w:rPr>
          <w:rFonts w:ascii="Times New Roman" w:hAnsi="Times New Roman" w:cs="Times New Roman"/>
          <w:sz w:val="20"/>
          <w:szCs w:val="20"/>
        </w:rPr>
      </w:pPr>
    </w:p>
    <w:p w14:paraId="47468B9A" w14:textId="77777777" w:rsidR="00DB3641" w:rsidRDefault="00DB3641" w:rsidP="00CB73B3">
      <w:pPr>
        <w:spacing w:after="0" w:line="276" w:lineRule="auto"/>
        <w:jc w:val="center"/>
        <w:rPr>
          <w:rFonts w:ascii="Times New Roman" w:hAnsi="Times New Roman" w:cs="Times New Roman"/>
          <w:sz w:val="20"/>
          <w:szCs w:val="20"/>
        </w:rPr>
      </w:pPr>
    </w:p>
    <w:p w14:paraId="78665BFF" w14:textId="77777777" w:rsidR="00DB3641" w:rsidRPr="0025088D" w:rsidRDefault="00DB3641" w:rsidP="00CB73B3">
      <w:pPr>
        <w:spacing w:after="0" w:line="276" w:lineRule="auto"/>
        <w:jc w:val="center"/>
        <w:rPr>
          <w:rFonts w:ascii="Times New Roman" w:hAnsi="Times New Roman" w:cs="Times New Roman"/>
          <w:b/>
          <w:sz w:val="20"/>
          <w:szCs w:val="20"/>
        </w:rPr>
      </w:pPr>
      <w:r w:rsidRPr="0025088D">
        <w:rPr>
          <w:rFonts w:ascii="Times New Roman" w:hAnsi="Times New Roman" w:cs="Times New Roman"/>
          <w:b/>
          <w:sz w:val="20"/>
          <w:szCs w:val="20"/>
        </w:rPr>
        <w:t xml:space="preserve">Abstrak </w:t>
      </w:r>
    </w:p>
    <w:p w14:paraId="02E9B2A4" w14:textId="5894268C" w:rsidR="0025088D" w:rsidRDefault="0025088D" w:rsidP="00620735">
      <w:pPr>
        <w:spacing w:before="240" w:after="0" w:line="276" w:lineRule="auto"/>
        <w:jc w:val="both"/>
        <w:rPr>
          <w:rFonts w:ascii="Times New Roman" w:hAnsi="Times New Roman" w:cs="Times New Roman"/>
          <w:sz w:val="20"/>
          <w:szCs w:val="20"/>
        </w:rPr>
      </w:pPr>
      <w:r w:rsidRPr="0025088D">
        <w:rPr>
          <w:rFonts w:ascii="Times New Roman" w:hAnsi="Times New Roman" w:cs="Times New Roman"/>
          <w:sz w:val="20"/>
          <w:szCs w:val="20"/>
        </w:rPr>
        <w:t xml:space="preserve">Penelitian ini bertujuan untuk menganalisis pengaturan hukum yang kabur agar dapat menjawab permasalahan hukum yaitu apakah sudah sesuai dengan unsur keadilan yang merupakan suatu cita-cita hukum. Penelitian membahas bahwa aturan hukum pidana saat ini perlu diadakan perubahan agar memperhatikan semua pihak (korban dan masyarakat) untuk dapat dikembalikan keadaannya. Metode penelitian ini merupakan yuridis normatif dengan menggunakan pendekatan perundang-undangan dan pendekatan konseptual. Penelitian ini menghasilkan 2 poin: pertama; bahwa aturan hukum pidana saat ini masi berorientasi pada unsur balas dendam sesuai dengan teori pembalasan yang pada dasarnya hanya ditujukan kepada pelaku hukuman tersebut dan hak asasi manusia pun sebagai korban terabaikan. Kedua; tidak ada pengaturan pidana mengenai ganti rugi yang mengatur secara konkret tindak pidana phising tersebut. Kebaharuan dalam penelitian ini yaitu melengkapi studi yang dilakukan pada penelitian sebelumnya yang hanya memberikan pidana penjara terhadap pelaku sebagai bentuk hukuman ganti kerugian dari si pelaku dan tidak ada pertanggungjawaban pribadi dari pelaku untuk mengembalikan kerugian secara materiil yang dialami oleh korban.  </w:t>
      </w:r>
    </w:p>
    <w:p w14:paraId="15EAB456" w14:textId="496DB437" w:rsidR="008E7F24" w:rsidRDefault="008E7F24" w:rsidP="00330C12">
      <w:pPr>
        <w:spacing w:after="0" w:line="276" w:lineRule="auto"/>
        <w:jc w:val="both"/>
        <w:rPr>
          <w:rFonts w:ascii="Times New Roman" w:hAnsi="Times New Roman" w:cs="Times New Roman"/>
          <w:sz w:val="20"/>
          <w:szCs w:val="20"/>
        </w:rPr>
      </w:pPr>
      <w:r w:rsidRPr="008E7F24">
        <w:rPr>
          <w:rFonts w:ascii="Times New Roman" w:hAnsi="Times New Roman" w:cs="Times New Roman"/>
          <w:b/>
          <w:sz w:val="20"/>
          <w:szCs w:val="20"/>
        </w:rPr>
        <w:t>Kata Kunci</w:t>
      </w:r>
      <w:r w:rsidRPr="008E7F24">
        <w:rPr>
          <w:rFonts w:ascii="Times New Roman" w:hAnsi="Times New Roman" w:cs="Times New Roman"/>
          <w:sz w:val="20"/>
          <w:szCs w:val="20"/>
        </w:rPr>
        <w:t xml:space="preserve">: </w:t>
      </w:r>
      <w:r w:rsidR="0025088D" w:rsidRPr="00303BD0">
        <w:rPr>
          <w:rFonts w:ascii="Times New Roman" w:hAnsi="Times New Roman" w:cs="Times New Roman"/>
          <w:i/>
          <w:sz w:val="20"/>
          <w:szCs w:val="20"/>
        </w:rPr>
        <w:t>Cyber Crime</w:t>
      </w:r>
      <w:r w:rsidR="0025088D">
        <w:rPr>
          <w:rFonts w:ascii="Times New Roman" w:hAnsi="Times New Roman" w:cs="Times New Roman"/>
          <w:sz w:val="20"/>
          <w:szCs w:val="20"/>
        </w:rPr>
        <w:t>;</w:t>
      </w:r>
      <w:r w:rsidR="0025088D" w:rsidRPr="008E7F24">
        <w:rPr>
          <w:rFonts w:ascii="Times New Roman" w:hAnsi="Times New Roman" w:cs="Times New Roman"/>
          <w:sz w:val="20"/>
          <w:szCs w:val="20"/>
        </w:rPr>
        <w:t xml:space="preserve"> P</w:t>
      </w:r>
      <w:r w:rsidR="0025088D">
        <w:rPr>
          <w:rFonts w:ascii="Times New Roman" w:hAnsi="Times New Roman" w:cs="Times New Roman"/>
          <w:sz w:val="20"/>
          <w:szCs w:val="20"/>
        </w:rPr>
        <w:t>engaturan Hukum;</w:t>
      </w:r>
      <w:r w:rsidR="0025088D" w:rsidRPr="008E7F24">
        <w:rPr>
          <w:rFonts w:ascii="Times New Roman" w:hAnsi="Times New Roman" w:cs="Times New Roman"/>
          <w:sz w:val="20"/>
          <w:szCs w:val="20"/>
        </w:rPr>
        <w:t xml:space="preserve"> </w:t>
      </w:r>
      <w:r w:rsidR="0025088D" w:rsidRPr="00303BD0">
        <w:rPr>
          <w:rFonts w:ascii="Times New Roman" w:hAnsi="Times New Roman" w:cs="Times New Roman"/>
          <w:i/>
          <w:sz w:val="20"/>
          <w:szCs w:val="20"/>
        </w:rPr>
        <w:t>Phishing</w:t>
      </w:r>
      <w:r w:rsidR="0025088D">
        <w:rPr>
          <w:rFonts w:ascii="Times New Roman" w:hAnsi="Times New Roman" w:cs="Times New Roman"/>
          <w:sz w:val="20"/>
          <w:szCs w:val="20"/>
        </w:rPr>
        <w:t>;</w:t>
      </w:r>
      <w:r w:rsidR="0025088D" w:rsidRPr="0052255F">
        <w:rPr>
          <w:rFonts w:ascii="Times New Roman" w:hAnsi="Times New Roman" w:cs="Times New Roman"/>
          <w:sz w:val="20"/>
          <w:szCs w:val="20"/>
        </w:rPr>
        <w:t xml:space="preserve"> </w:t>
      </w:r>
      <w:r w:rsidR="0025088D">
        <w:rPr>
          <w:rFonts w:ascii="Times New Roman" w:hAnsi="Times New Roman" w:cs="Times New Roman"/>
          <w:sz w:val="20"/>
          <w:szCs w:val="20"/>
        </w:rPr>
        <w:t>Tindak Pidana.</w:t>
      </w:r>
    </w:p>
    <w:p w14:paraId="6814F5D8" w14:textId="77777777" w:rsidR="00F03923" w:rsidRDefault="00F03923" w:rsidP="00CB73B3">
      <w:pPr>
        <w:spacing w:before="240" w:after="0" w:line="276" w:lineRule="auto"/>
        <w:jc w:val="center"/>
        <w:rPr>
          <w:rFonts w:ascii="Times New Roman" w:hAnsi="Times New Roman" w:cs="Times New Roman"/>
          <w:sz w:val="20"/>
          <w:szCs w:val="20"/>
        </w:rPr>
      </w:pPr>
    </w:p>
    <w:p w14:paraId="07285EED" w14:textId="77777777" w:rsidR="00F03923" w:rsidRPr="00F03923" w:rsidRDefault="00F03923" w:rsidP="00620735">
      <w:pPr>
        <w:spacing w:before="240" w:line="276" w:lineRule="auto"/>
        <w:jc w:val="center"/>
        <w:rPr>
          <w:rFonts w:ascii="Times New Roman" w:hAnsi="Times New Roman" w:cs="Times New Roman"/>
          <w:i/>
          <w:sz w:val="20"/>
          <w:szCs w:val="20"/>
        </w:rPr>
      </w:pPr>
      <w:r w:rsidRPr="00F03923">
        <w:rPr>
          <w:rFonts w:ascii="Times New Roman" w:hAnsi="Times New Roman" w:cs="Times New Roman"/>
          <w:i/>
          <w:sz w:val="20"/>
          <w:szCs w:val="20"/>
        </w:rPr>
        <w:t>Abstract</w:t>
      </w:r>
    </w:p>
    <w:p w14:paraId="1AD2EFCE" w14:textId="2CD5AB08" w:rsidR="0025088D" w:rsidRDefault="0025088D" w:rsidP="0025088D">
      <w:pPr>
        <w:spacing w:after="0" w:line="240" w:lineRule="auto"/>
        <w:jc w:val="both"/>
        <w:rPr>
          <w:rFonts w:ascii="Times New Roman" w:hAnsi="Times New Roman" w:cs="Times New Roman"/>
          <w:i/>
          <w:sz w:val="20"/>
          <w:szCs w:val="20"/>
        </w:rPr>
      </w:pPr>
      <w:r w:rsidRPr="00A335A7">
        <w:rPr>
          <w:rFonts w:ascii="Times New Roman" w:hAnsi="Times New Roman" w:cs="Times New Roman"/>
          <w:i/>
          <w:sz w:val="20"/>
          <w:szCs w:val="20"/>
        </w:rPr>
        <w:t>This study aims to analyze vague legal arrangements in order to answer legal problems, namely whether they are in accordance with the elements of justice which is a legal ideal. Research discusses that the current criminal law rules need to be changed in order to pay attention to all parties (victims and society) to be able to restore their situation. This research method is normative juridical using a statutory approach and a conceptual approach. The study resulted in 2 points: first; that the current rule of criminal law is oriented towards the element of revenge in accordance with the theory of retaliation which is basically only aimed at the perpetrator of the punishment and human rights as victims are neglected.</w:t>
      </w:r>
      <w:r>
        <w:rPr>
          <w:rFonts w:ascii="Times New Roman" w:hAnsi="Times New Roman" w:cs="Times New Roman"/>
          <w:i/>
          <w:sz w:val="20"/>
          <w:szCs w:val="20"/>
        </w:rPr>
        <w:t xml:space="preserve"> </w:t>
      </w:r>
      <w:r w:rsidRPr="00A335A7">
        <w:rPr>
          <w:rFonts w:ascii="Times New Roman" w:hAnsi="Times New Roman" w:cs="Times New Roman"/>
          <w:i/>
          <w:sz w:val="20"/>
          <w:szCs w:val="20"/>
        </w:rPr>
        <w:t xml:space="preserve">Second; There is no criminal arrangement regarding compensation that concretely regulates the criminal act of phishing. </w:t>
      </w:r>
      <w:r w:rsidRPr="00960F7D">
        <w:rPr>
          <w:rFonts w:ascii="Times New Roman" w:hAnsi="Times New Roman" w:cs="Times New Roman"/>
          <w:i/>
          <w:sz w:val="20"/>
          <w:szCs w:val="20"/>
        </w:rPr>
        <w:t>The novelty in this study is that it complements the studies conducted in previous studies that only provide imprisonment for the perpetrator as a form of compensation from the perpetrator and there is no personal responsibility from the perpetrator to return the material losses suffered by the victim.</w:t>
      </w:r>
    </w:p>
    <w:p w14:paraId="4E7E57EE" w14:textId="33F360BD" w:rsidR="00F03923" w:rsidRPr="00F03923" w:rsidRDefault="00F03923" w:rsidP="0025088D">
      <w:pPr>
        <w:spacing w:after="0" w:line="276" w:lineRule="auto"/>
        <w:jc w:val="both"/>
        <w:rPr>
          <w:rFonts w:ascii="Times New Roman" w:hAnsi="Times New Roman" w:cs="Times New Roman"/>
          <w:i/>
          <w:sz w:val="20"/>
          <w:szCs w:val="20"/>
        </w:rPr>
      </w:pPr>
      <w:r w:rsidRPr="00F03923">
        <w:rPr>
          <w:rFonts w:ascii="Times New Roman" w:hAnsi="Times New Roman" w:cs="Times New Roman"/>
          <w:b/>
          <w:i/>
          <w:sz w:val="20"/>
          <w:szCs w:val="20"/>
        </w:rPr>
        <w:t>Keyword</w:t>
      </w:r>
      <w:r w:rsidRPr="00F03923">
        <w:rPr>
          <w:rFonts w:ascii="Times New Roman" w:hAnsi="Times New Roman" w:cs="Times New Roman"/>
          <w:i/>
          <w:sz w:val="20"/>
          <w:szCs w:val="20"/>
        </w:rPr>
        <w:t>: Legal Regulation, Law Enforcement, Cyber Crime, Phising</w:t>
      </w:r>
    </w:p>
    <w:p w14:paraId="6000346E" w14:textId="77777777" w:rsidR="00DB3641" w:rsidRDefault="00DB3641" w:rsidP="00CB73B3">
      <w:pPr>
        <w:spacing w:line="276" w:lineRule="auto"/>
        <w:rPr>
          <w:rFonts w:ascii="Times New Roman" w:hAnsi="Times New Roman" w:cs="Times New Roman"/>
          <w:sz w:val="20"/>
          <w:szCs w:val="20"/>
        </w:rPr>
      </w:pPr>
    </w:p>
    <w:p w14:paraId="02E83A2E" w14:textId="77777777" w:rsidR="00BE4A35" w:rsidRDefault="00BE4A35" w:rsidP="00CB73B3">
      <w:pPr>
        <w:spacing w:line="276" w:lineRule="auto"/>
        <w:rPr>
          <w:rFonts w:ascii="Times New Roman" w:hAnsi="Times New Roman" w:cs="Times New Roman"/>
          <w:sz w:val="20"/>
          <w:szCs w:val="20"/>
        </w:rPr>
      </w:pPr>
    </w:p>
    <w:p w14:paraId="220C9E80" w14:textId="61F132F2" w:rsidR="00BE4A35" w:rsidRDefault="00BE4A35" w:rsidP="00CB73B3">
      <w:pPr>
        <w:spacing w:line="276" w:lineRule="auto"/>
        <w:rPr>
          <w:rFonts w:ascii="Times New Roman" w:hAnsi="Times New Roman" w:cs="Times New Roman"/>
          <w:sz w:val="20"/>
          <w:szCs w:val="20"/>
        </w:rPr>
      </w:pPr>
    </w:p>
    <w:p w14:paraId="7D3C57C9" w14:textId="5224B2E0" w:rsidR="00703585" w:rsidRDefault="00703585" w:rsidP="00CB73B3">
      <w:pPr>
        <w:spacing w:line="276" w:lineRule="auto"/>
        <w:rPr>
          <w:rFonts w:ascii="Times New Roman" w:hAnsi="Times New Roman" w:cs="Times New Roman"/>
          <w:sz w:val="20"/>
          <w:szCs w:val="20"/>
        </w:rPr>
      </w:pPr>
    </w:p>
    <w:p w14:paraId="64EF2BFE" w14:textId="77777777" w:rsidR="000552F9" w:rsidRDefault="000552F9" w:rsidP="00CB73B3">
      <w:pPr>
        <w:spacing w:line="276" w:lineRule="auto"/>
        <w:rPr>
          <w:rFonts w:ascii="Times New Roman" w:hAnsi="Times New Roman" w:cs="Times New Roman"/>
          <w:sz w:val="20"/>
          <w:szCs w:val="20"/>
        </w:rPr>
      </w:pPr>
    </w:p>
    <w:p w14:paraId="27FDE503" w14:textId="77777777" w:rsidR="00703585" w:rsidRPr="00DB3641" w:rsidRDefault="00703585" w:rsidP="00CB73B3">
      <w:pPr>
        <w:spacing w:line="276" w:lineRule="auto"/>
        <w:rPr>
          <w:rFonts w:ascii="Times New Roman" w:hAnsi="Times New Roman" w:cs="Times New Roman"/>
          <w:sz w:val="20"/>
          <w:szCs w:val="20"/>
        </w:rPr>
      </w:pPr>
    </w:p>
    <w:p w14:paraId="59295949" w14:textId="77777777" w:rsidR="0028511D" w:rsidRPr="00774504" w:rsidRDefault="0028511D" w:rsidP="00732C13">
      <w:pPr>
        <w:pStyle w:val="ListParagraph"/>
        <w:numPr>
          <w:ilvl w:val="0"/>
          <w:numId w:val="1"/>
        </w:numPr>
        <w:spacing w:after="0" w:line="276" w:lineRule="auto"/>
        <w:ind w:left="0" w:hanging="426"/>
        <w:jc w:val="both"/>
        <w:rPr>
          <w:rFonts w:ascii="Times New Roman" w:hAnsi="Times New Roman" w:cs="Times New Roman"/>
          <w:b/>
          <w:sz w:val="24"/>
          <w:szCs w:val="24"/>
        </w:rPr>
      </w:pPr>
      <w:commentRangeStart w:id="2"/>
      <w:r w:rsidRPr="00774504">
        <w:rPr>
          <w:rFonts w:ascii="Times New Roman" w:hAnsi="Times New Roman" w:cs="Times New Roman"/>
          <w:b/>
          <w:sz w:val="24"/>
          <w:szCs w:val="24"/>
        </w:rPr>
        <w:lastRenderedPageBreak/>
        <w:t>PENDAHULUAN</w:t>
      </w:r>
      <w:commentRangeEnd w:id="2"/>
      <w:r w:rsidR="00F0706D">
        <w:rPr>
          <w:rStyle w:val="CommentReference"/>
        </w:rPr>
        <w:commentReference w:id="2"/>
      </w:r>
    </w:p>
    <w:p w14:paraId="22532C9F" w14:textId="0E5CE573" w:rsidR="0028511D" w:rsidRDefault="0028511D" w:rsidP="00732C13">
      <w:pPr>
        <w:spacing w:after="0" w:line="276" w:lineRule="auto"/>
        <w:ind w:firstLine="720"/>
        <w:jc w:val="both"/>
        <w:rPr>
          <w:rFonts w:ascii="Times New Roman" w:hAnsi="Times New Roman" w:cs="Times New Roman"/>
          <w:sz w:val="24"/>
          <w:szCs w:val="24"/>
        </w:rPr>
      </w:pPr>
      <w:r w:rsidRPr="0028511D">
        <w:rPr>
          <w:rFonts w:ascii="Times New Roman" w:hAnsi="Times New Roman" w:cs="Times New Roman"/>
          <w:sz w:val="24"/>
          <w:szCs w:val="24"/>
        </w:rPr>
        <w:t>Kemajuan teknologi informasi dan komunikasi saat ini membuat masyarakat semakin mudah dalam memberikan dan menerima informasi. Masyarakat dapat dengan mudah berkomunikasi tanpa ada batas jarak, ruang dan waktu. Seiring dengan perkembangan teknologi tersebut masyarakat juga dituntut untuk mampu mengikuti setiap perkembangan yang sedang terjadi.</w:t>
      </w:r>
      <w:r w:rsidR="00441DB7">
        <w:rPr>
          <w:rStyle w:val="FootnoteReference"/>
          <w:rFonts w:ascii="Times New Roman" w:hAnsi="Times New Roman" w:cs="Times New Roman"/>
          <w:sz w:val="24"/>
          <w:szCs w:val="24"/>
        </w:rPr>
        <w:footnoteReference w:id="1"/>
      </w:r>
      <w:r w:rsidRPr="0028511D">
        <w:rPr>
          <w:rFonts w:ascii="Times New Roman" w:hAnsi="Times New Roman" w:cs="Times New Roman"/>
          <w:sz w:val="24"/>
          <w:szCs w:val="24"/>
        </w:rPr>
        <w:t xml:space="preserve"> Perkembangan teknologi informasi juga membentuk masyarakat dunia baru yang tidak lagi dihalangi oleh batas-batas teritorial dan telah membalikkan segalanya yang jauh jadi dekat yang khayal jadi nyata. Namun di balik kemajuan itu, juga telah melahirkan keresahan-keresahan baru dengan munculnya kejahatan yang </w:t>
      </w:r>
      <w:commentRangeStart w:id="3"/>
      <w:r w:rsidRPr="0028511D">
        <w:rPr>
          <w:rFonts w:ascii="Times New Roman" w:hAnsi="Times New Roman" w:cs="Times New Roman"/>
          <w:sz w:val="24"/>
          <w:szCs w:val="24"/>
        </w:rPr>
        <w:t xml:space="preserve">canggih dalam bentuk </w:t>
      </w:r>
      <w:r w:rsidRPr="0028511D">
        <w:rPr>
          <w:rFonts w:ascii="Times New Roman" w:hAnsi="Times New Roman" w:cs="Times New Roman"/>
          <w:i/>
          <w:sz w:val="24"/>
          <w:szCs w:val="24"/>
        </w:rPr>
        <w:t>cyber crime</w:t>
      </w:r>
      <w:r w:rsidRPr="0028511D">
        <w:rPr>
          <w:rFonts w:ascii="Times New Roman" w:hAnsi="Times New Roman" w:cs="Times New Roman"/>
          <w:sz w:val="24"/>
          <w:szCs w:val="24"/>
        </w:rPr>
        <w:t xml:space="preserve">. </w:t>
      </w:r>
      <w:r w:rsidR="00441DB7">
        <w:rPr>
          <w:rStyle w:val="FootnoteReference"/>
          <w:rFonts w:ascii="Times New Roman" w:hAnsi="Times New Roman" w:cs="Times New Roman"/>
          <w:sz w:val="24"/>
          <w:szCs w:val="24"/>
        </w:rPr>
        <w:footnoteReference w:id="2"/>
      </w:r>
    </w:p>
    <w:p w14:paraId="6BE3A733" w14:textId="5A88F2D9" w:rsidR="00D04527" w:rsidRDefault="0028511D" w:rsidP="00732C13">
      <w:pPr>
        <w:spacing w:after="0" w:line="276" w:lineRule="auto"/>
        <w:ind w:firstLine="720"/>
        <w:jc w:val="both"/>
        <w:rPr>
          <w:rFonts w:ascii="Times New Roman" w:hAnsi="Times New Roman" w:cs="Times New Roman"/>
          <w:sz w:val="24"/>
          <w:szCs w:val="24"/>
        </w:rPr>
      </w:pPr>
      <w:r w:rsidRPr="00FD260F">
        <w:rPr>
          <w:rFonts w:ascii="Times New Roman" w:hAnsi="Times New Roman" w:cs="Times New Roman"/>
          <w:i/>
          <w:sz w:val="24"/>
          <w:szCs w:val="24"/>
        </w:rPr>
        <w:t>Cyber crime</w:t>
      </w:r>
      <w:r w:rsidRPr="0028511D">
        <w:rPr>
          <w:rFonts w:ascii="Times New Roman" w:hAnsi="Times New Roman" w:cs="Times New Roman"/>
          <w:sz w:val="24"/>
          <w:szCs w:val="24"/>
        </w:rPr>
        <w:t xml:space="preserve"> meskipun bersifat virtual dapat dikategorikan sebagai tindakan dan perbuatan   hukum   yang   </w:t>
      </w:r>
      <w:commentRangeEnd w:id="3"/>
      <w:r w:rsidR="00F0706D">
        <w:rPr>
          <w:rStyle w:val="CommentReference"/>
        </w:rPr>
        <w:commentReference w:id="3"/>
      </w:r>
      <w:r w:rsidRPr="0028511D">
        <w:rPr>
          <w:rFonts w:ascii="Times New Roman" w:hAnsi="Times New Roman" w:cs="Times New Roman"/>
          <w:sz w:val="24"/>
          <w:szCs w:val="24"/>
        </w:rPr>
        <w:t xml:space="preserve">nyata. Secara yuridis dalam hal ruang cyber sudah tidak pada tempatnya  lagi  untuk   kategorikan   sesuatu   dengan ukuran dalam kualifikasi hukum konvensional  untuk  dijadikan  obyek  dan perbuatan,  sebab  jika  cara  ini  yang  ditempuh  akan terlalu  banyak  kesulitan dan hal-hal yang lolos dari jerat hukum. Kegiatan </w:t>
      </w:r>
      <w:r w:rsidRPr="0064766C">
        <w:rPr>
          <w:rFonts w:ascii="Times New Roman" w:hAnsi="Times New Roman" w:cs="Times New Roman"/>
          <w:i/>
          <w:sz w:val="24"/>
          <w:szCs w:val="24"/>
        </w:rPr>
        <w:t>cyber</w:t>
      </w:r>
      <w:r w:rsidRPr="0028511D">
        <w:rPr>
          <w:rFonts w:ascii="Times New Roman" w:hAnsi="Times New Roman" w:cs="Times New Roman"/>
          <w:sz w:val="24"/>
          <w:szCs w:val="24"/>
        </w:rPr>
        <w:t xml:space="preserve"> adalah kegiatan virtual yang berdampak sangat nyata, meskipun alat buktinya bersifat elektronik. </w:t>
      </w:r>
      <w:r w:rsidR="00392D1C">
        <w:rPr>
          <w:rFonts w:ascii="Times New Roman" w:hAnsi="Times New Roman" w:cs="Times New Roman"/>
          <w:sz w:val="24"/>
          <w:szCs w:val="24"/>
        </w:rPr>
        <w:t>Subj</w:t>
      </w:r>
      <w:r w:rsidR="00732C13" w:rsidRPr="0028511D">
        <w:rPr>
          <w:rFonts w:ascii="Times New Roman" w:hAnsi="Times New Roman" w:cs="Times New Roman"/>
          <w:sz w:val="24"/>
          <w:szCs w:val="24"/>
        </w:rPr>
        <w:t>ek</w:t>
      </w:r>
      <w:r w:rsidRPr="0028511D">
        <w:rPr>
          <w:rFonts w:ascii="Times New Roman" w:hAnsi="Times New Roman" w:cs="Times New Roman"/>
          <w:sz w:val="24"/>
          <w:szCs w:val="24"/>
        </w:rPr>
        <w:t xml:space="preserve"> pelakunya harus dikualifikasikan pula sebagai orang yang telah melakukan perbuatan hukum secara nyata.</w:t>
      </w:r>
      <w:r w:rsidR="0076407F">
        <w:rPr>
          <w:rStyle w:val="FootnoteReference"/>
          <w:rFonts w:ascii="Times New Roman" w:hAnsi="Times New Roman" w:cs="Times New Roman"/>
          <w:sz w:val="24"/>
          <w:szCs w:val="24"/>
        </w:rPr>
        <w:footnoteReference w:id="3"/>
      </w:r>
      <w:r w:rsidR="0076407F" w:rsidRPr="0028511D">
        <w:rPr>
          <w:rFonts w:ascii="Times New Roman" w:hAnsi="Times New Roman" w:cs="Times New Roman"/>
          <w:sz w:val="24"/>
          <w:szCs w:val="24"/>
        </w:rPr>
        <w:t xml:space="preserve"> </w:t>
      </w:r>
      <w:r w:rsidRPr="0028511D">
        <w:rPr>
          <w:rFonts w:ascii="Times New Roman" w:hAnsi="Times New Roman" w:cs="Times New Roman"/>
          <w:sz w:val="24"/>
          <w:szCs w:val="24"/>
        </w:rPr>
        <w:t>Kejahatan-kejahatan dunia maya (</w:t>
      </w:r>
      <w:commentRangeStart w:id="4"/>
      <w:r w:rsidRPr="00732C13">
        <w:rPr>
          <w:rFonts w:ascii="Times New Roman" w:hAnsi="Times New Roman" w:cs="Times New Roman"/>
          <w:i/>
          <w:sz w:val="24"/>
          <w:szCs w:val="24"/>
        </w:rPr>
        <w:t>cyber crime</w:t>
      </w:r>
      <w:commentRangeEnd w:id="4"/>
      <w:r w:rsidR="00F0706D" w:rsidRPr="00732C13">
        <w:rPr>
          <w:rStyle w:val="CommentReference"/>
          <w:i/>
        </w:rPr>
        <w:commentReference w:id="4"/>
      </w:r>
      <w:r w:rsidRPr="0028511D">
        <w:rPr>
          <w:rFonts w:ascii="Times New Roman" w:hAnsi="Times New Roman" w:cs="Times New Roman"/>
          <w:sz w:val="24"/>
          <w:szCs w:val="24"/>
        </w:rPr>
        <w:t>) sangat banyak jenisnya akan tetapi pada dasarnya segalanya itu sama yaitu menjalankan tindakan kejahatan pada dunia maya terutama internet untuk kepentingan pribadi ataupun golongan. Hingga hari ini, kasus kejahatan di dunia maya (</w:t>
      </w:r>
      <w:r w:rsidRPr="00732C13">
        <w:rPr>
          <w:rFonts w:ascii="Times New Roman" w:hAnsi="Times New Roman" w:cs="Times New Roman"/>
          <w:i/>
          <w:sz w:val="24"/>
          <w:szCs w:val="24"/>
        </w:rPr>
        <w:t>cyber crime</w:t>
      </w:r>
      <w:r w:rsidRPr="0028511D">
        <w:rPr>
          <w:rFonts w:ascii="Times New Roman" w:hAnsi="Times New Roman" w:cs="Times New Roman"/>
          <w:sz w:val="24"/>
          <w:szCs w:val="24"/>
        </w:rPr>
        <w:t>) semakin bertambah, modusnya pun makin beragam, serta makin bervariasi karateristik pelaku kejahatan</w:t>
      </w:r>
      <w:r w:rsidR="00D04527">
        <w:rPr>
          <w:rFonts w:ascii="Times New Roman" w:hAnsi="Times New Roman" w:cs="Times New Roman"/>
          <w:sz w:val="24"/>
          <w:szCs w:val="24"/>
        </w:rPr>
        <w:t>n</w:t>
      </w:r>
      <w:r w:rsidR="00732C13">
        <w:rPr>
          <w:rFonts w:ascii="Times New Roman" w:hAnsi="Times New Roman" w:cs="Times New Roman"/>
          <w:sz w:val="24"/>
          <w:szCs w:val="24"/>
        </w:rPr>
        <w:t>ya, dan makin serius akibatnya.</w:t>
      </w:r>
      <w:r w:rsidR="0076407F">
        <w:rPr>
          <w:rStyle w:val="FootnoteReference"/>
          <w:rFonts w:ascii="Times New Roman" w:hAnsi="Times New Roman" w:cs="Times New Roman"/>
          <w:sz w:val="24"/>
          <w:szCs w:val="24"/>
        </w:rPr>
        <w:footnoteReference w:id="4"/>
      </w:r>
    </w:p>
    <w:p w14:paraId="17924EC2" w14:textId="19EBDD07" w:rsidR="00381300" w:rsidRPr="00381300" w:rsidRDefault="00381300" w:rsidP="00732C13">
      <w:pPr>
        <w:spacing w:after="0" w:line="276" w:lineRule="auto"/>
        <w:ind w:firstLine="720"/>
        <w:jc w:val="both"/>
        <w:rPr>
          <w:rFonts w:ascii="Times New Roman" w:hAnsi="Times New Roman" w:cs="Times New Roman"/>
          <w:sz w:val="24"/>
          <w:szCs w:val="24"/>
        </w:rPr>
      </w:pPr>
      <w:r w:rsidRPr="00381300">
        <w:rPr>
          <w:rFonts w:ascii="Times New Roman" w:hAnsi="Times New Roman" w:cs="Times New Roman"/>
          <w:sz w:val="24"/>
          <w:szCs w:val="24"/>
        </w:rPr>
        <w:t xml:space="preserve">Kejahatan dunia maya makin marak seiring penggunaan internet yang makin bertambah banyak. Jenisnya pun beragam. Manfaat teknologi informasi dan komunikasi selain memberikan dampak positif juga disadari memberi peluang untuk dijadikan sarana melakukan tindak kejahatan-kejahatan baru </w:t>
      </w:r>
      <w:r w:rsidRPr="00381300">
        <w:rPr>
          <w:rFonts w:ascii="Times New Roman" w:hAnsi="Times New Roman" w:cs="Times New Roman"/>
          <w:i/>
          <w:sz w:val="24"/>
          <w:szCs w:val="24"/>
        </w:rPr>
        <w:t>(cyber crime)</w:t>
      </w:r>
      <w:r w:rsidRPr="00381300">
        <w:rPr>
          <w:rFonts w:ascii="Times New Roman" w:hAnsi="Times New Roman" w:cs="Times New Roman"/>
          <w:sz w:val="24"/>
          <w:szCs w:val="24"/>
        </w:rPr>
        <w:t xml:space="preserve"> sehingga diperlukan upaya proteksi. Dapat dikatakan bahwa teknologi informasi dan komunikasi bagaikan pedang bermata dua, dimana selain memberikan kontribusi positif bagi peningkatan kesejahteraan, kemajuan, dan peradaban manusia, juga menjadi sarana potensial dan sarana efektif untuk melakukan perbuatan melawan hukum.</w:t>
      </w:r>
      <w:r w:rsidR="0041437A">
        <w:rPr>
          <w:rStyle w:val="FootnoteReference"/>
          <w:rFonts w:ascii="Times New Roman" w:hAnsi="Times New Roman" w:cs="Times New Roman"/>
          <w:sz w:val="24"/>
          <w:szCs w:val="24"/>
        </w:rPr>
        <w:footnoteReference w:id="5"/>
      </w:r>
    </w:p>
    <w:p w14:paraId="668994DC" w14:textId="11971275" w:rsidR="0028511D" w:rsidRPr="0028511D" w:rsidRDefault="00580A98" w:rsidP="00005A8F">
      <w:pPr>
        <w:spacing w:after="0" w:line="276" w:lineRule="auto"/>
        <w:ind w:firstLine="720"/>
        <w:jc w:val="both"/>
        <w:rPr>
          <w:rFonts w:ascii="Times New Roman" w:hAnsi="Times New Roman" w:cs="Times New Roman"/>
          <w:sz w:val="24"/>
          <w:szCs w:val="24"/>
        </w:rPr>
      </w:pPr>
      <w:r w:rsidRPr="009303D4">
        <w:rPr>
          <w:rFonts w:ascii="Times New Roman" w:hAnsi="Times New Roman" w:cs="Times New Roman"/>
          <w:i/>
          <w:sz w:val="24"/>
          <w:szCs w:val="24"/>
        </w:rPr>
        <w:t>Cybercrime</w:t>
      </w:r>
      <w:r w:rsidRPr="00580A98">
        <w:rPr>
          <w:rFonts w:ascii="Times New Roman" w:hAnsi="Times New Roman" w:cs="Times New Roman"/>
          <w:sz w:val="24"/>
          <w:szCs w:val="24"/>
        </w:rPr>
        <w:t xml:space="preserve"> dalam bentuk </w:t>
      </w:r>
      <w:r w:rsidRPr="009303D4">
        <w:rPr>
          <w:rFonts w:ascii="Times New Roman" w:hAnsi="Times New Roman" w:cs="Times New Roman"/>
          <w:i/>
          <w:sz w:val="24"/>
          <w:szCs w:val="24"/>
        </w:rPr>
        <w:t>phising</w:t>
      </w:r>
      <w:r w:rsidRPr="00580A98">
        <w:rPr>
          <w:rFonts w:ascii="Times New Roman" w:hAnsi="Times New Roman" w:cs="Times New Roman"/>
          <w:sz w:val="24"/>
          <w:szCs w:val="24"/>
        </w:rPr>
        <w:t xml:space="preserve"> adalah </w:t>
      </w:r>
      <w:r w:rsidR="00D65B53">
        <w:rPr>
          <w:rFonts w:ascii="Times New Roman" w:hAnsi="Times New Roman" w:cs="Times New Roman"/>
          <w:sz w:val="24"/>
          <w:szCs w:val="24"/>
        </w:rPr>
        <w:t>salah satu</w:t>
      </w:r>
      <w:r w:rsidRPr="00580A98">
        <w:rPr>
          <w:rFonts w:ascii="Times New Roman" w:hAnsi="Times New Roman" w:cs="Times New Roman"/>
          <w:sz w:val="24"/>
          <w:szCs w:val="24"/>
        </w:rPr>
        <w:t xml:space="preserve"> kejahatan siber yang membuat pemalsuan data di suatu website palsu yang tampilannya mirip dengan website aslinya, tetapi mempunyai tujuan yang sama untuk mendapatkan informasi mengenai indentitas </w:t>
      </w:r>
      <w:r w:rsidRPr="00580A98">
        <w:rPr>
          <w:rFonts w:ascii="Times New Roman" w:hAnsi="Times New Roman" w:cs="Times New Roman"/>
          <w:sz w:val="24"/>
          <w:szCs w:val="24"/>
        </w:rPr>
        <w:lastRenderedPageBreak/>
        <w:t>orang lain yang akan digunakan dengan illegal tanpa sepe</w:t>
      </w:r>
      <w:r>
        <w:rPr>
          <w:rFonts w:ascii="Times New Roman" w:hAnsi="Times New Roman" w:cs="Times New Roman"/>
          <w:sz w:val="24"/>
          <w:szCs w:val="24"/>
        </w:rPr>
        <w:t>ngetahuan pemilik asli tersebut.</w:t>
      </w:r>
      <w:r w:rsidR="00C40302">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0028511D" w:rsidRPr="0028511D">
        <w:rPr>
          <w:rFonts w:ascii="Times New Roman" w:hAnsi="Times New Roman" w:cs="Times New Roman"/>
          <w:sz w:val="24"/>
          <w:szCs w:val="24"/>
        </w:rPr>
        <w:t xml:space="preserve">Pengetahuan pengguna yang dangkal pada alat teknologi yang dipakai adalah penyebab terjadinya </w:t>
      </w:r>
      <w:r w:rsidR="0028511D" w:rsidRPr="002F49F3">
        <w:rPr>
          <w:rFonts w:ascii="Times New Roman" w:hAnsi="Times New Roman" w:cs="Times New Roman"/>
          <w:i/>
          <w:sz w:val="24"/>
          <w:szCs w:val="24"/>
        </w:rPr>
        <w:t>phising</w:t>
      </w:r>
      <w:r w:rsidR="0028511D" w:rsidRPr="0028511D">
        <w:rPr>
          <w:rFonts w:ascii="Times New Roman" w:hAnsi="Times New Roman" w:cs="Times New Roman"/>
          <w:sz w:val="24"/>
          <w:szCs w:val="24"/>
        </w:rPr>
        <w:t xml:space="preserve">, sehingga pengguna teknologi harus diberikan ilmu tentang pengoperasian sebuah teknologi karena seperti yang dijelaskan diatas bahwa pengetahuan pengguna yang dangkal yaitu salah satu faktor penyebab terjadinya </w:t>
      </w:r>
      <w:r w:rsidR="0028511D" w:rsidRPr="009303D4">
        <w:rPr>
          <w:rFonts w:ascii="Times New Roman" w:hAnsi="Times New Roman" w:cs="Times New Roman"/>
          <w:i/>
          <w:sz w:val="24"/>
          <w:szCs w:val="24"/>
        </w:rPr>
        <w:t>cyber crime</w:t>
      </w:r>
      <w:r w:rsidR="0028511D" w:rsidRPr="0028511D">
        <w:rPr>
          <w:rFonts w:ascii="Times New Roman" w:hAnsi="Times New Roman" w:cs="Times New Roman"/>
          <w:sz w:val="24"/>
          <w:szCs w:val="24"/>
        </w:rPr>
        <w:t xml:space="preserve"> khususnya dalam karya ilmiah ini adalah </w:t>
      </w:r>
      <w:r w:rsidR="0028511D" w:rsidRPr="009303D4">
        <w:rPr>
          <w:rFonts w:ascii="Times New Roman" w:hAnsi="Times New Roman" w:cs="Times New Roman"/>
          <w:i/>
          <w:sz w:val="24"/>
          <w:szCs w:val="24"/>
        </w:rPr>
        <w:t>phising</w:t>
      </w:r>
      <w:r w:rsidR="0028511D" w:rsidRPr="0028511D">
        <w:rPr>
          <w:rFonts w:ascii="Times New Roman" w:hAnsi="Times New Roman" w:cs="Times New Roman"/>
          <w:sz w:val="24"/>
          <w:szCs w:val="24"/>
        </w:rPr>
        <w:t xml:space="preserve">. Ada sebuah teori yang menyatakan, </w:t>
      </w:r>
      <w:commentRangeStart w:id="5"/>
      <w:r w:rsidR="0028511D" w:rsidRPr="009303D4">
        <w:rPr>
          <w:rFonts w:ascii="Times New Roman" w:hAnsi="Times New Roman" w:cs="Times New Roman"/>
          <w:i/>
          <w:sz w:val="24"/>
          <w:szCs w:val="24"/>
        </w:rPr>
        <w:t>crime is product of society its self</w:t>
      </w:r>
      <w:r w:rsidR="0028511D" w:rsidRPr="0028511D">
        <w:rPr>
          <w:rFonts w:ascii="Times New Roman" w:hAnsi="Times New Roman" w:cs="Times New Roman"/>
          <w:sz w:val="24"/>
          <w:szCs w:val="24"/>
        </w:rPr>
        <w:t xml:space="preserve"> </w:t>
      </w:r>
      <w:commentRangeEnd w:id="5"/>
      <w:r w:rsidR="00F0706D">
        <w:rPr>
          <w:rStyle w:val="CommentReference"/>
        </w:rPr>
        <w:commentReference w:id="5"/>
      </w:r>
      <w:r w:rsidR="0028511D" w:rsidRPr="0028511D">
        <w:rPr>
          <w:rFonts w:ascii="Times New Roman" w:hAnsi="Times New Roman" w:cs="Times New Roman"/>
          <w:sz w:val="24"/>
          <w:szCs w:val="24"/>
        </w:rPr>
        <w:t>artinya bahwa masyarakat itu sendirilah yang menghasilkan kejahatan.</w:t>
      </w:r>
      <w:r w:rsidR="00FD0691">
        <w:rPr>
          <w:rStyle w:val="FootnoteReference"/>
          <w:rFonts w:ascii="Times New Roman" w:hAnsi="Times New Roman" w:cs="Times New Roman"/>
          <w:sz w:val="24"/>
          <w:szCs w:val="24"/>
        </w:rPr>
        <w:footnoteReference w:id="7"/>
      </w:r>
    </w:p>
    <w:p w14:paraId="3D3819A7" w14:textId="7A327C72" w:rsidR="00B26611" w:rsidRPr="00B26611" w:rsidRDefault="00B26611" w:rsidP="00B26611">
      <w:pPr>
        <w:spacing w:after="0" w:line="276" w:lineRule="auto"/>
        <w:ind w:firstLine="720"/>
        <w:jc w:val="both"/>
        <w:rPr>
          <w:rFonts w:ascii="Times New Roman" w:hAnsi="Times New Roman" w:cs="Times New Roman"/>
          <w:bCs/>
          <w:sz w:val="24"/>
          <w:szCs w:val="24"/>
          <w:lang w:val="id-ID"/>
        </w:rPr>
      </w:pPr>
      <w:r w:rsidRPr="00B26611">
        <w:rPr>
          <w:rFonts w:ascii="Times New Roman" w:hAnsi="Times New Roman" w:cs="Times New Roman"/>
          <w:sz w:val="24"/>
          <w:szCs w:val="24"/>
        </w:rPr>
        <w:t xml:space="preserve">Berdasarkan </w:t>
      </w:r>
      <w:r w:rsidRPr="00B26611">
        <w:rPr>
          <w:rFonts w:ascii="Times New Roman" w:hAnsi="Times New Roman" w:cs="Times New Roman"/>
          <w:i/>
          <w:sz w:val="24"/>
          <w:szCs w:val="24"/>
        </w:rPr>
        <w:t>novelty</w:t>
      </w:r>
      <w:r w:rsidRPr="00B26611">
        <w:rPr>
          <w:rFonts w:ascii="Times New Roman" w:hAnsi="Times New Roman" w:cs="Times New Roman"/>
          <w:sz w:val="24"/>
          <w:szCs w:val="24"/>
        </w:rPr>
        <w:t xml:space="preserve"> terdahulu yang membahas mengenai </w:t>
      </w:r>
      <w:r w:rsidRPr="00B26611">
        <w:rPr>
          <w:rFonts w:ascii="Times New Roman" w:hAnsi="Times New Roman" w:cs="Times New Roman"/>
          <w:i/>
          <w:sz w:val="24"/>
          <w:szCs w:val="24"/>
        </w:rPr>
        <w:t xml:space="preserve">phising </w:t>
      </w:r>
      <w:r w:rsidRPr="00B26611">
        <w:rPr>
          <w:rFonts w:ascii="Times New Roman" w:hAnsi="Times New Roman" w:cs="Times New Roman"/>
          <w:sz w:val="24"/>
          <w:szCs w:val="24"/>
        </w:rPr>
        <w:t>seperti Saputra Gulo (2022).</w:t>
      </w:r>
      <w:r w:rsidR="001F7720">
        <w:rPr>
          <w:rStyle w:val="FootnoteReference"/>
          <w:rFonts w:ascii="Times New Roman" w:hAnsi="Times New Roman" w:cs="Times New Roman"/>
          <w:sz w:val="24"/>
          <w:szCs w:val="24"/>
        </w:rPr>
        <w:footnoteReference w:id="8"/>
      </w:r>
      <w:r w:rsidRPr="00B26611">
        <w:rPr>
          <w:rFonts w:ascii="Times New Roman" w:hAnsi="Times New Roman" w:cs="Times New Roman"/>
          <w:sz w:val="24"/>
          <w:szCs w:val="24"/>
        </w:rPr>
        <w:t xml:space="preserve"> Hasil dari penelitian ini adalah </w:t>
      </w:r>
      <w:r w:rsidRPr="00B26611">
        <w:rPr>
          <w:rFonts w:ascii="Times New Roman" w:hAnsi="Times New Roman" w:cs="Times New Roman"/>
          <w:bCs/>
          <w:sz w:val="24"/>
          <w:szCs w:val="24"/>
          <w:lang w:val="id-ID"/>
        </w:rPr>
        <w:t>pengaturan hukum terhadap</w:t>
      </w:r>
      <w:r w:rsidRPr="00B26611">
        <w:rPr>
          <w:rFonts w:ascii="Times New Roman" w:hAnsi="Times New Roman" w:cs="Times New Roman"/>
          <w:bCs/>
          <w:sz w:val="24"/>
          <w:szCs w:val="24"/>
        </w:rPr>
        <w:t xml:space="preserve"> pelaku</w:t>
      </w:r>
      <w:r w:rsidRPr="00B26611">
        <w:rPr>
          <w:rFonts w:ascii="Times New Roman" w:hAnsi="Times New Roman" w:cs="Times New Roman"/>
          <w:bCs/>
          <w:sz w:val="24"/>
          <w:szCs w:val="24"/>
          <w:lang w:val="id-ID"/>
        </w:rPr>
        <w:t xml:space="preserve"> </w:t>
      </w:r>
      <w:r w:rsidRPr="00B26611">
        <w:rPr>
          <w:rFonts w:ascii="Times New Roman" w:hAnsi="Times New Roman" w:cs="Times New Roman"/>
          <w:bCs/>
          <w:i/>
          <w:sz w:val="24"/>
          <w:szCs w:val="24"/>
          <w:lang w:val="id-ID"/>
        </w:rPr>
        <w:t>cyber crime</w:t>
      </w:r>
      <w:r w:rsidRPr="00B26611">
        <w:rPr>
          <w:rFonts w:ascii="Times New Roman" w:hAnsi="Times New Roman" w:cs="Times New Roman"/>
          <w:bCs/>
          <w:sz w:val="24"/>
          <w:szCs w:val="24"/>
          <w:lang w:val="id-ID"/>
        </w:rPr>
        <w:t xml:space="preserve"> dalam bentuk </w:t>
      </w:r>
      <w:r w:rsidRPr="00B26611">
        <w:rPr>
          <w:rFonts w:ascii="Times New Roman" w:hAnsi="Times New Roman" w:cs="Times New Roman"/>
          <w:bCs/>
          <w:i/>
          <w:sz w:val="24"/>
          <w:szCs w:val="24"/>
          <w:lang w:val="id-ID"/>
        </w:rPr>
        <w:t>phising</w:t>
      </w:r>
      <w:r w:rsidRPr="00B26611">
        <w:rPr>
          <w:rFonts w:ascii="Times New Roman" w:hAnsi="Times New Roman" w:cs="Times New Roman"/>
          <w:bCs/>
          <w:sz w:val="24"/>
          <w:szCs w:val="24"/>
          <w:lang w:val="id-ID"/>
        </w:rPr>
        <w:t xml:space="preserve"> berdasarkan </w:t>
      </w:r>
      <w:r w:rsidRPr="00B26611">
        <w:rPr>
          <w:rFonts w:ascii="Times New Roman" w:hAnsi="Times New Roman" w:cs="Times New Roman"/>
          <w:bCs/>
          <w:sz w:val="24"/>
          <w:szCs w:val="24"/>
        </w:rPr>
        <w:t>UU ITE</w:t>
      </w:r>
      <w:r w:rsidRPr="00B26611">
        <w:rPr>
          <w:rFonts w:ascii="Times New Roman" w:hAnsi="Times New Roman" w:cs="Times New Roman"/>
          <w:bCs/>
          <w:sz w:val="24"/>
          <w:szCs w:val="24"/>
          <w:lang w:val="id-ID"/>
        </w:rPr>
        <w:t xml:space="preserve"> adalah tidak bisa terjerat sanksi pidana karena di dalam Pasal 35 jo Pasal 51 ayat (1) tidak terdapat unsur kebohongan yang merugikan orang lain </w:t>
      </w:r>
      <w:r w:rsidRPr="00B26611">
        <w:rPr>
          <w:rFonts w:ascii="Times New Roman" w:hAnsi="Times New Roman" w:cs="Times New Roman"/>
          <w:bCs/>
          <w:sz w:val="24"/>
          <w:szCs w:val="24"/>
        </w:rPr>
        <w:t xml:space="preserve">yang </w:t>
      </w:r>
      <w:r w:rsidRPr="00B26611">
        <w:rPr>
          <w:rFonts w:ascii="Times New Roman" w:hAnsi="Times New Roman" w:cs="Times New Roman"/>
          <w:bCs/>
          <w:sz w:val="24"/>
          <w:szCs w:val="24"/>
          <w:lang w:val="id-ID"/>
        </w:rPr>
        <w:t xml:space="preserve">menyebabkan telah terjadinya kekosongan hukum tentang pengaturan hukum terhadap </w:t>
      </w:r>
      <w:r w:rsidRPr="00B26611">
        <w:rPr>
          <w:rFonts w:ascii="Times New Roman" w:hAnsi="Times New Roman" w:cs="Times New Roman"/>
          <w:bCs/>
          <w:i/>
          <w:sz w:val="24"/>
          <w:szCs w:val="24"/>
          <w:lang w:val="id-ID"/>
        </w:rPr>
        <w:t>cyber crime</w:t>
      </w:r>
      <w:r w:rsidRPr="00B26611">
        <w:rPr>
          <w:rFonts w:ascii="Times New Roman" w:hAnsi="Times New Roman" w:cs="Times New Roman"/>
          <w:bCs/>
          <w:sz w:val="24"/>
          <w:szCs w:val="24"/>
          <w:lang w:val="id-ID"/>
        </w:rPr>
        <w:t xml:space="preserve"> dalam bentuk </w:t>
      </w:r>
      <w:r w:rsidRPr="00B26611">
        <w:rPr>
          <w:rFonts w:ascii="Times New Roman" w:hAnsi="Times New Roman" w:cs="Times New Roman"/>
          <w:bCs/>
          <w:i/>
          <w:sz w:val="24"/>
          <w:szCs w:val="24"/>
          <w:lang w:val="id-ID"/>
        </w:rPr>
        <w:t>phising</w:t>
      </w:r>
      <w:r w:rsidRPr="00B26611">
        <w:rPr>
          <w:rFonts w:ascii="Times New Roman" w:hAnsi="Times New Roman" w:cs="Times New Roman"/>
          <w:bCs/>
          <w:sz w:val="24"/>
          <w:szCs w:val="24"/>
          <w:lang w:val="id-ID"/>
        </w:rPr>
        <w:t xml:space="preserve"> berdasarkan </w:t>
      </w:r>
      <w:r w:rsidR="00EF0C20">
        <w:rPr>
          <w:rFonts w:ascii="Times New Roman" w:hAnsi="Times New Roman" w:cs="Times New Roman"/>
          <w:bCs/>
          <w:sz w:val="24"/>
          <w:szCs w:val="24"/>
        </w:rPr>
        <w:t>UU ITE</w:t>
      </w:r>
      <w:r w:rsidRPr="00B26611">
        <w:rPr>
          <w:rFonts w:ascii="Times New Roman" w:hAnsi="Times New Roman" w:cs="Times New Roman"/>
          <w:bCs/>
          <w:sz w:val="24"/>
          <w:szCs w:val="24"/>
        </w:rPr>
        <w:t>. Dalam penelitian ini terdapat kelemahan yaitu menjelaskan tidak bisa dikenakan pasal 35 jo. Pasal 51 ayat 1</w:t>
      </w:r>
      <w:r w:rsidR="00EF0C20">
        <w:rPr>
          <w:rFonts w:ascii="Times New Roman" w:hAnsi="Times New Roman" w:cs="Times New Roman"/>
          <w:bCs/>
          <w:sz w:val="24"/>
          <w:szCs w:val="24"/>
        </w:rPr>
        <w:t xml:space="preserve"> UU ITE</w:t>
      </w:r>
      <w:r w:rsidRPr="00B26611">
        <w:rPr>
          <w:rFonts w:ascii="Times New Roman" w:hAnsi="Times New Roman" w:cs="Times New Roman"/>
          <w:bCs/>
          <w:sz w:val="24"/>
          <w:szCs w:val="24"/>
        </w:rPr>
        <w:t>. Penelitian kedua dilakukan oleh Vikran (2021).</w:t>
      </w:r>
      <w:r w:rsidR="001F7720">
        <w:rPr>
          <w:rStyle w:val="FootnoteReference"/>
          <w:rFonts w:ascii="Times New Roman" w:hAnsi="Times New Roman" w:cs="Times New Roman"/>
          <w:bCs/>
          <w:sz w:val="24"/>
          <w:szCs w:val="24"/>
        </w:rPr>
        <w:footnoteReference w:id="9"/>
      </w:r>
      <w:r w:rsidR="001F7720" w:rsidRPr="00B26611">
        <w:rPr>
          <w:rFonts w:ascii="Times New Roman" w:hAnsi="Times New Roman" w:cs="Times New Roman"/>
          <w:bCs/>
          <w:sz w:val="24"/>
          <w:szCs w:val="24"/>
        </w:rPr>
        <w:t xml:space="preserve"> </w:t>
      </w:r>
      <w:r w:rsidRPr="00B26611">
        <w:rPr>
          <w:rFonts w:ascii="Times New Roman" w:hAnsi="Times New Roman" w:cs="Times New Roman"/>
          <w:bCs/>
          <w:sz w:val="24"/>
          <w:szCs w:val="24"/>
        </w:rPr>
        <w:t xml:space="preserve">Hasil dari penelitian ini adalah </w:t>
      </w:r>
      <w:r w:rsidRPr="00B26611">
        <w:rPr>
          <w:rFonts w:ascii="Times New Roman" w:hAnsi="Times New Roman" w:cs="Times New Roman"/>
          <w:bCs/>
          <w:sz w:val="24"/>
          <w:szCs w:val="24"/>
          <w:lang w:val="id-ID"/>
        </w:rPr>
        <w:t xml:space="preserve">membahas tentang </w:t>
      </w:r>
      <w:r w:rsidRPr="00B26611">
        <w:rPr>
          <w:rFonts w:ascii="Times New Roman" w:hAnsi="Times New Roman" w:cs="Times New Roman"/>
          <w:bCs/>
          <w:i/>
          <w:sz w:val="24"/>
          <w:szCs w:val="24"/>
          <w:lang w:val="id-ID"/>
        </w:rPr>
        <w:t>phising</w:t>
      </w:r>
      <w:r w:rsidRPr="00B26611">
        <w:rPr>
          <w:rFonts w:ascii="Times New Roman" w:hAnsi="Times New Roman" w:cs="Times New Roman"/>
          <w:bCs/>
          <w:sz w:val="24"/>
          <w:szCs w:val="24"/>
          <w:lang w:val="id-ID"/>
        </w:rPr>
        <w:t xml:space="preserve"> menurut UU ITE yang dapat disebut sebagai sebuah tindak pidana, akan tetapi unsur yang terdapat dalam pasal-pasal UU ITE belum benar-benar menjelaskan mengenai konsep tindak pidana </w:t>
      </w:r>
      <w:r w:rsidRPr="00B26611">
        <w:rPr>
          <w:rFonts w:ascii="Times New Roman" w:hAnsi="Times New Roman" w:cs="Times New Roman"/>
          <w:bCs/>
          <w:i/>
          <w:sz w:val="24"/>
          <w:szCs w:val="24"/>
          <w:lang w:val="id-ID"/>
        </w:rPr>
        <w:t>phising</w:t>
      </w:r>
      <w:r w:rsidRPr="00B26611">
        <w:rPr>
          <w:rFonts w:ascii="Times New Roman" w:hAnsi="Times New Roman" w:cs="Times New Roman"/>
          <w:bCs/>
          <w:sz w:val="24"/>
          <w:szCs w:val="24"/>
          <w:lang w:val="id-ID"/>
        </w:rPr>
        <w:t xml:space="preserve"> secara terperinci karena konsep </w:t>
      </w:r>
      <w:r w:rsidRPr="00B26611">
        <w:rPr>
          <w:rFonts w:ascii="Times New Roman" w:hAnsi="Times New Roman" w:cs="Times New Roman"/>
          <w:bCs/>
          <w:i/>
          <w:sz w:val="24"/>
          <w:szCs w:val="24"/>
          <w:lang w:val="id-ID"/>
        </w:rPr>
        <w:t>phising</w:t>
      </w:r>
      <w:r w:rsidRPr="00B26611">
        <w:rPr>
          <w:rFonts w:ascii="Times New Roman" w:hAnsi="Times New Roman" w:cs="Times New Roman"/>
          <w:bCs/>
          <w:sz w:val="24"/>
          <w:szCs w:val="24"/>
          <w:lang w:val="id-ID"/>
        </w:rPr>
        <w:t xml:space="preserve"> faktanya tidak hanya mengenai perbuatan memanipulasi dokumen elektronik agar korban menganggap bahwa dokumen tersebut sebagai dokumen yang asli.</w:t>
      </w:r>
      <w:r w:rsidRPr="00B26611">
        <w:rPr>
          <w:rFonts w:ascii="Times New Roman" w:hAnsi="Times New Roman" w:cs="Times New Roman"/>
          <w:bCs/>
          <w:sz w:val="24"/>
          <w:szCs w:val="24"/>
        </w:rPr>
        <w:t xml:space="preserve"> Dalam penelitian ini terdapat kelemahan yaitu membahas tidak ada pengaturan hukum kepada pelaku tindak pidana </w:t>
      </w:r>
      <w:r w:rsidRPr="00B26611">
        <w:rPr>
          <w:rFonts w:ascii="Times New Roman" w:hAnsi="Times New Roman" w:cs="Times New Roman"/>
          <w:bCs/>
          <w:i/>
          <w:sz w:val="24"/>
          <w:szCs w:val="24"/>
        </w:rPr>
        <w:t>phising</w:t>
      </w:r>
      <w:r w:rsidRPr="00B26611">
        <w:rPr>
          <w:rFonts w:ascii="Times New Roman" w:hAnsi="Times New Roman" w:cs="Times New Roman"/>
          <w:bCs/>
          <w:sz w:val="24"/>
          <w:szCs w:val="24"/>
        </w:rPr>
        <w:t>.</w:t>
      </w:r>
    </w:p>
    <w:p w14:paraId="19D02517" w14:textId="1FC9A414" w:rsidR="00B26611" w:rsidRPr="00B26611" w:rsidRDefault="00B26611" w:rsidP="00B26611">
      <w:pPr>
        <w:spacing w:after="0" w:line="276" w:lineRule="auto"/>
        <w:ind w:firstLine="720"/>
        <w:jc w:val="both"/>
        <w:rPr>
          <w:rFonts w:ascii="Times New Roman" w:hAnsi="Times New Roman" w:cs="Times New Roman"/>
          <w:bCs/>
          <w:sz w:val="24"/>
          <w:szCs w:val="24"/>
        </w:rPr>
      </w:pPr>
      <w:r w:rsidRPr="00B26611">
        <w:rPr>
          <w:rFonts w:ascii="Times New Roman" w:hAnsi="Times New Roman" w:cs="Times New Roman"/>
          <w:bCs/>
          <w:sz w:val="24"/>
          <w:szCs w:val="24"/>
        </w:rPr>
        <w:t>Penelitian ketiga dilakukan oleh Diniyah (2022).</w:t>
      </w:r>
      <w:r w:rsidR="00C9475E">
        <w:rPr>
          <w:rStyle w:val="FootnoteReference"/>
          <w:rFonts w:ascii="Times New Roman" w:hAnsi="Times New Roman" w:cs="Times New Roman"/>
          <w:bCs/>
          <w:sz w:val="24"/>
          <w:szCs w:val="24"/>
        </w:rPr>
        <w:footnoteReference w:id="10"/>
      </w:r>
      <w:r w:rsidRPr="00B26611">
        <w:rPr>
          <w:rFonts w:ascii="Times New Roman" w:hAnsi="Times New Roman" w:cs="Times New Roman"/>
          <w:bCs/>
          <w:sz w:val="24"/>
          <w:szCs w:val="24"/>
        </w:rPr>
        <w:t xml:space="preserve"> Hasil dari </w:t>
      </w:r>
      <w:r w:rsidRPr="00B26611">
        <w:rPr>
          <w:rFonts w:ascii="Times New Roman" w:hAnsi="Times New Roman" w:cs="Times New Roman"/>
          <w:bCs/>
          <w:sz w:val="24"/>
          <w:szCs w:val="24"/>
          <w:lang w:val="id-ID"/>
        </w:rPr>
        <w:t>p</w:t>
      </w:r>
      <w:r w:rsidRPr="00B26611">
        <w:rPr>
          <w:rFonts w:ascii="Times New Roman" w:hAnsi="Times New Roman" w:cs="Times New Roman"/>
          <w:bCs/>
          <w:sz w:val="24"/>
          <w:szCs w:val="24"/>
        </w:rPr>
        <w:t xml:space="preserve">enelitian ini adalah perlindungan hukum terhadap korban adalah pelaku tindak pidana </w:t>
      </w:r>
      <w:r w:rsidRPr="00B26611">
        <w:rPr>
          <w:rFonts w:ascii="Times New Roman" w:hAnsi="Times New Roman" w:cs="Times New Roman"/>
          <w:bCs/>
          <w:i/>
          <w:sz w:val="24"/>
          <w:szCs w:val="24"/>
        </w:rPr>
        <w:t xml:space="preserve">phising </w:t>
      </w:r>
      <w:r w:rsidRPr="00B26611">
        <w:rPr>
          <w:rFonts w:ascii="Times New Roman" w:hAnsi="Times New Roman" w:cs="Times New Roman"/>
          <w:bCs/>
          <w:sz w:val="24"/>
          <w:szCs w:val="24"/>
        </w:rPr>
        <w:t xml:space="preserve">dikenakan </w:t>
      </w:r>
      <w:r w:rsidRPr="00B26611">
        <w:rPr>
          <w:rFonts w:ascii="Times New Roman" w:hAnsi="Times New Roman" w:cs="Times New Roman"/>
          <w:bCs/>
          <w:sz w:val="24"/>
          <w:szCs w:val="24"/>
          <w:lang w:val="id-ID"/>
        </w:rPr>
        <w:t xml:space="preserve">Pasal 378 KUHP, Pasal 28 Ayat (1) serta Pasal 35 </w:t>
      </w:r>
      <w:r w:rsidRPr="00B26611">
        <w:rPr>
          <w:rFonts w:ascii="Times New Roman" w:hAnsi="Times New Roman" w:cs="Times New Roman"/>
          <w:bCs/>
          <w:sz w:val="24"/>
          <w:szCs w:val="24"/>
        </w:rPr>
        <w:t>UU ITE</w:t>
      </w:r>
      <w:r w:rsidRPr="00B26611">
        <w:rPr>
          <w:rFonts w:ascii="Times New Roman" w:hAnsi="Times New Roman" w:cs="Times New Roman"/>
          <w:bCs/>
          <w:sz w:val="24"/>
          <w:szCs w:val="24"/>
          <w:lang w:val="id-ID"/>
        </w:rPr>
        <w:t xml:space="preserve"> juga dapat digunakan untuk menjerat pelaku tindak pidana </w:t>
      </w:r>
      <w:r w:rsidRPr="00B26611">
        <w:rPr>
          <w:rFonts w:ascii="Times New Roman" w:hAnsi="Times New Roman" w:cs="Times New Roman"/>
          <w:bCs/>
          <w:i/>
          <w:sz w:val="24"/>
          <w:szCs w:val="24"/>
          <w:lang w:val="id-ID"/>
        </w:rPr>
        <w:t>cyber crime phishing</w:t>
      </w:r>
      <w:r w:rsidRPr="00B26611">
        <w:rPr>
          <w:rFonts w:ascii="Times New Roman" w:hAnsi="Times New Roman" w:cs="Times New Roman"/>
          <w:bCs/>
          <w:sz w:val="24"/>
          <w:szCs w:val="24"/>
          <w:lang w:val="id-ID"/>
        </w:rPr>
        <w:t xml:space="preserve"> ini. Selain itu pelaku tindak pidana </w:t>
      </w:r>
      <w:r w:rsidRPr="00B26611">
        <w:rPr>
          <w:rFonts w:ascii="Times New Roman" w:hAnsi="Times New Roman" w:cs="Times New Roman"/>
          <w:bCs/>
          <w:i/>
          <w:sz w:val="24"/>
          <w:szCs w:val="24"/>
          <w:lang w:val="id-ID"/>
        </w:rPr>
        <w:t>cyber crime phishing</w:t>
      </w:r>
      <w:r w:rsidRPr="00B26611">
        <w:rPr>
          <w:rFonts w:ascii="Times New Roman" w:hAnsi="Times New Roman" w:cs="Times New Roman"/>
          <w:bCs/>
          <w:sz w:val="24"/>
          <w:szCs w:val="24"/>
          <w:lang w:val="id-ID"/>
        </w:rPr>
        <w:t xml:space="preserve"> dapat dikenakan Pasal 40 Undang-Undang Nomor 36 Tahun 1999 tentang Telekomunikasi.</w:t>
      </w:r>
      <w:r w:rsidRPr="00B26611">
        <w:rPr>
          <w:rFonts w:ascii="Times New Roman" w:hAnsi="Times New Roman" w:cs="Times New Roman"/>
          <w:bCs/>
          <w:sz w:val="24"/>
          <w:szCs w:val="24"/>
        </w:rPr>
        <w:t xml:space="preserve"> Dalam penelitian ini terdapat kelemahan yaitu tidak membahas perlindungan hukum dalam pasal 45A ayat 1 UU ITE. Berkaitan dengan hal tersebut, dari tinjauan pustaka tersebut dapat ditemukan titik persamaan dan perbedaan dengan penelitian ini. Adapun titik persamaannya yakni sama-sama membahas mengenai modus terjadinya tindak pidana </w:t>
      </w:r>
      <w:r w:rsidRPr="00B26611">
        <w:rPr>
          <w:rFonts w:ascii="Times New Roman" w:hAnsi="Times New Roman" w:cs="Times New Roman"/>
          <w:bCs/>
          <w:i/>
          <w:sz w:val="24"/>
          <w:szCs w:val="24"/>
        </w:rPr>
        <w:t>phising</w:t>
      </w:r>
      <w:r w:rsidRPr="00B26611">
        <w:rPr>
          <w:rFonts w:ascii="Times New Roman" w:hAnsi="Times New Roman" w:cs="Times New Roman"/>
          <w:bCs/>
          <w:sz w:val="24"/>
          <w:szCs w:val="24"/>
        </w:rPr>
        <w:t>. Perbedaan dari ketiga penelitian ini adalah ketiga jurnal tersebut tidak ada yang membahas mengenai ganti rugi terhadap korban secara konkret sedangkan penelitian ini menjelaskan mengenai ganti kerugian secara konkret.</w:t>
      </w:r>
    </w:p>
    <w:p w14:paraId="6ABF5F80" w14:textId="77777777" w:rsidR="005F08E0" w:rsidRDefault="005F08E0" w:rsidP="000C220C">
      <w:pPr>
        <w:pStyle w:val="ListParagraph"/>
        <w:numPr>
          <w:ilvl w:val="0"/>
          <w:numId w:val="1"/>
        </w:numPr>
        <w:spacing w:after="0" w:line="276" w:lineRule="auto"/>
        <w:ind w:left="0" w:hanging="426"/>
        <w:jc w:val="both"/>
        <w:rPr>
          <w:rFonts w:ascii="Times New Roman" w:hAnsi="Times New Roman" w:cs="Times New Roman"/>
          <w:b/>
          <w:sz w:val="24"/>
          <w:szCs w:val="24"/>
        </w:rPr>
      </w:pPr>
      <w:r w:rsidRPr="005F08E0">
        <w:rPr>
          <w:rFonts w:ascii="Times New Roman" w:hAnsi="Times New Roman" w:cs="Times New Roman"/>
          <w:b/>
          <w:sz w:val="24"/>
          <w:szCs w:val="24"/>
        </w:rPr>
        <w:t>METODE PENELITIAN</w:t>
      </w:r>
    </w:p>
    <w:p w14:paraId="46B221FC" w14:textId="3BA22D1B" w:rsidR="001A12EA" w:rsidRPr="00A072AA" w:rsidRDefault="001A12EA" w:rsidP="001A12EA">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Metode </w:t>
      </w:r>
      <w:r w:rsidRPr="00A63229">
        <w:rPr>
          <w:rFonts w:ascii="Times New Roman" w:hAnsi="Times New Roman" w:cs="Times New Roman"/>
          <w:sz w:val="24"/>
          <w:szCs w:val="24"/>
        </w:rPr>
        <w:t>penelitian ini menggunakan 2 macam pendekatan, yakni pendekatan perundang-undangan (</w:t>
      </w:r>
      <w:r w:rsidRPr="007D47AF">
        <w:rPr>
          <w:rFonts w:ascii="Times New Roman" w:hAnsi="Times New Roman" w:cs="Times New Roman"/>
          <w:i/>
          <w:sz w:val="24"/>
          <w:szCs w:val="24"/>
        </w:rPr>
        <w:t>statute approach</w:t>
      </w:r>
      <w:r w:rsidRPr="00A63229">
        <w:rPr>
          <w:rFonts w:ascii="Times New Roman" w:hAnsi="Times New Roman" w:cs="Times New Roman"/>
          <w:sz w:val="24"/>
          <w:szCs w:val="24"/>
        </w:rPr>
        <w:t>) dan pendekatan konseptual (</w:t>
      </w:r>
      <w:r w:rsidRPr="007D47AF">
        <w:rPr>
          <w:rFonts w:ascii="Times New Roman" w:hAnsi="Times New Roman" w:cs="Times New Roman"/>
          <w:i/>
          <w:sz w:val="24"/>
          <w:szCs w:val="24"/>
        </w:rPr>
        <w:t>conseptual approach</w:t>
      </w:r>
      <w:r w:rsidRPr="00A63229">
        <w:rPr>
          <w:rFonts w:ascii="Times New Roman" w:hAnsi="Times New Roman" w:cs="Times New Roman"/>
          <w:sz w:val="24"/>
          <w:szCs w:val="24"/>
        </w:rPr>
        <w:t>). Penelitian</w:t>
      </w:r>
      <w:r>
        <w:rPr>
          <w:rFonts w:ascii="Times New Roman" w:hAnsi="Times New Roman" w:cs="Times New Roman"/>
          <w:sz w:val="24"/>
          <w:szCs w:val="24"/>
        </w:rPr>
        <w:t xml:space="preserve"> ini merupakan penelitian hukum normatif yang </w:t>
      </w:r>
      <w:r w:rsidRPr="00A63229">
        <w:rPr>
          <w:rFonts w:ascii="Times New Roman" w:hAnsi="Times New Roman" w:cs="Times New Roman"/>
          <w:sz w:val="24"/>
          <w:szCs w:val="24"/>
        </w:rPr>
        <w:t>disebut juga penelitian kepustakaan atau studi dokumen, karena penelitian ini dilakukan atau ditujukan hanya pada peraturan-peraturan tertulis atau bahan-bahan hukum yang lain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Pr="00DE5579">
        <w:rPr>
          <w:rFonts w:ascii="Times New Roman" w:hAnsi="Times New Roman" w:cs="Times New Roman"/>
          <w:sz w:val="24"/>
          <w:szCs w:val="24"/>
        </w:rPr>
        <w:t>Spesifikasi penelitian dalam penelitian ini adalah dengan menggunakan pendekatan perundang-undangan (</w:t>
      </w:r>
      <w:r w:rsidR="00AE3821" w:rsidRPr="00AF43B2">
        <w:rPr>
          <w:rFonts w:ascii="Times New Roman" w:hAnsi="Times New Roman" w:cs="Times New Roman"/>
          <w:i/>
          <w:sz w:val="24"/>
          <w:szCs w:val="24"/>
        </w:rPr>
        <w:t>statute approach</w:t>
      </w:r>
      <w:r w:rsidRPr="00DE5579">
        <w:rPr>
          <w:rFonts w:ascii="Times New Roman" w:hAnsi="Times New Roman" w:cs="Times New Roman"/>
          <w:sz w:val="24"/>
          <w:szCs w:val="24"/>
        </w:rPr>
        <w:t>) yaitu pendekatan yang dimaksud untuk melihat dengan seksama serta menganalisis semua undang-undang serta peraturan lain yang bersangkutan dengan isu huku</w:t>
      </w:r>
      <w:r>
        <w:rPr>
          <w:rFonts w:ascii="Times New Roman" w:hAnsi="Times New Roman" w:cs="Times New Roman"/>
          <w:sz w:val="24"/>
          <w:szCs w:val="24"/>
        </w:rPr>
        <w:t>m yang sedang dihadapi saat ini</w:t>
      </w:r>
      <w:r w:rsidRPr="00DE5579">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Pr="00F343FA">
        <w:rPr>
          <w:rFonts w:ascii="Times New Roman" w:hAnsi="Times New Roman" w:cs="Times New Roman"/>
          <w:sz w:val="24"/>
          <w:szCs w:val="24"/>
        </w:rPr>
        <w:t xml:space="preserve"> </w:t>
      </w:r>
      <w:r w:rsidRPr="003B025B">
        <w:rPr>
          <w:rFonts w:ascii="Times New Roman" w:hAnsi="Times New Roman" w:cs="Times New Roman"/>
          <w:sz w:val="24"/>
          <w:szCs w:val="24"/>
        </w:rPr>
        <w:t xml:space="preserve">Penelitian </w:t>
      </w:r>
      <w:r>
        <w:rPr>
          <w:rFonts w:ascii="Times New Roman" w:hAnsi="Times New Roman" w:cs="Times New Roman"/>
          <w:sz w:val="24"/>
          <w:szCs w:val="24"/>
        </w:rPr>
        <w:t xml:space="preserve">ini menggunakan </w:t>
      </w:r>
      <w:r w:rsidRPr="003B025B">
        <w:rPr>
          <w:rFonts w:ascii="Times New Roman" w:hAnsi="Times New Roman" w:cs="Times New Roman"/>
          <w:sz w:val="24"/>
          <w:szCs w:val="24"/>
        </w:rPr>
        <w:t xml:space="preserve">yuridis normatif yaitu dengan melakukan pengumpulan data yang dilakukan dengan cara studi kepustakaan </w:t>
      </w:r>
      <w:r w:rsidRPr="003B025B">
        <w:rPr>
          <w:rFonts w:ascii="Times New Roman" w:hAnsi="Times New Roman" w:cs="Times New Roman"/>
          <w:i/>
          <w:sz w:val="24"/>
          <w:szCs w:val="24"/>
        </w:rPr>
        <w:t>(library research)</w:t>
      </w:r>
      <w:r w:rsidRPr="003B025B">
        <w:rPr>
          <w:rFonts w:ascii="Times New Roman" w:hAnsi="Times New Roman" w:cs="Times New Roman"/>
          <w:sz w:val="24"/>
          <w:szCs w:val="24"/>
        </w:rPr>
        <w:t xml:space="preserve">. Penelitian kepustakaan adalah jenis penelitian dengan cara mengumpulkan bahan-bahan yang ada kaitannya dengan penelitian yang berasal dari jurnal-jurnal ilmiah, berbagai macam literatur, dan </w:t>
      </w:r>
      <w:r>
        <w:rPr>
          <w:rFonts w:ascii="Times New Roman" w:hAnsi="Times New Roman" w:cs="Times New Roman"/>
          <w:sz w:val="24"/>
          <w:szCs w:val="24"/>
        </w:rPr>
        <w:t>dari penelitian ini</w:t>
      </w:r>
      <w:r w:rsidRPr="003B025B">
        <w:rPr>
          <w:rFonts w:ascii="Times New Roman" w:hAnsi="Times New Roman" w:cs="Times New Roman"/>
          <w:sz w:val="24"/>
          <w:szCs w:val="24"/>
        </w:rPr>
        <w:t>.</w:t>
      </w:r>
      <w:r>
        <w:rPr>
          <w:rFonts w:ascii="Times New Roman" w:hAnsi="Times New Roman" w:cs="Times New Roman"/>
          <w:sz w:val="24"/>
          <w:szCs w:val="24"/>
        </w:rPr>
        <w:t xml:space="preserve"> </w:t>
      </w:r>
      <w:r w:rsidRPr="00F343FA">
        <w:rPr>
          <w:rFonts w:ascii="Times New Roman" w:hAnsi="Times New Roman" w:cs="Times New Roman"/>
          <w:sz w:val="24"/>
          <w:szCs w:val="24"/>
        </w:rPr>
        <w:t xml:space="preserve">Sumber bahan hukum yang </w:t>
      </w:r>
      <w:r w:rsidR="00CE15B7">
        <w:rPr>
          <w:rFonts w:ascii="Times New Roman" w:hAnsi="Times New Roman" w:cs="Times New Roman"/>
          <w:sz w:val="24"/>
          <w:szCs w:val="24"/>
        </w:rPr>
        <w:t>digunakan</w:t>
      </w:r>
      <w:r>
        <w:rPr>
          <w:rFonts w:ascii="Times New Roman" w:hAnsi="Times New Roman" w:cs="Times New Roman"/>
          <w:sz w:val="24"/>
          <w:szCs w:val="24"/>
        </w:rPr>
        <w:t xml:space="preserve"> bersifat primer dan sekunder</w:t>
      </w:r>
      <w:r w:rsidRPr="00F343FA">
        <w:rPr>
          <w:rFonts w:ascii="Times New Roman" w:hAnsi="Times New Roman" w:cs="Times New Roman"/>
          <w:sz w:val="24"/>
          <w:szCs w:val="24"/>
        </w:rPr>
        <w:t>.</w:t>
      </w:r>
      <w:r w:rsidRPr="0057624E">
        <w:rPr>
          <w:rFonts w:ascii="Times New Roman" w:eastAsia="Times New Roman" w:hAnsi="Times New Roman" w:cs="Times New Roman"/>
          <w:color w:val="000000"/>
          <w:sz w:val="24"/>
          <w:szCs w:val="24"/>
        </w:rPr>
        <w:t xml:space="preserve"> </w:t>
      </w:r>
    </w:p>
    <w:p w14:paraId="37789368" w14:textId="13B17B4E" w:rsidR="00DB5816" w:rsidRPr="001A12EA" w:rsidRDefault="001A12EA" w:rsidP="001A12EA">
      <w:pPr>
        <w:spacing w:after="0" w:line="276" w:lineRule="auto"/>
        <w:ind w:firstLine="720"/>
        <w:jc w:val="both"/>
        <w:rPr>
          <w:rFonts w:ascii="Times New Roman" w:hAnsi="Times New Roman" w:cs="Times New Roman"/>
          <w:sz w:val="24"/>
          <w:szCs w:val="24"/>
          <w:lang w:val="id-ID"/>
        </w:rPr>
      </w:pPr>
      <w:r w:rsidRPr="0057624E">
        <w:rPr>
          <w:rFonts w:ascii="Times New Roman" w:hAnsi="Times New Roman" w:cs="Times New Roman"/>
          <w:sz w:val="24"/>
          <w:szCs w:val="24"/>
        </w:rPr>
        <w:t>Bahan hukum primer merupakan bahan hukum yang bersifat autoratif, artinya, mempunyai otoritas. Bahan hukum terdiri dari perundang-undangan, catatan-catatan resmi.</w:t>
      </w:r>
      <w:r>
        <w:rPr>
          <w:rStyle w:val="FootnoteReference"/>
          <w:rFonts w:ascii="Times New Roman" w:hAnsi="Times New Roman" w:cs="Times New Roman"/>
          <w:sz w:val="24"/>
          <w:szCs w:val="24"/>
        </w:rPr>
        <w:footnoteReference w:id="13"/>
      </w:r>
      <w:r w:rsidRPr="00F343FA">
        <w:rPr>
          <w:rFonts w:ascii="Times New Roman" w:hAnsi="Times New Roman" w:cs="Times New Roman"/>
          <w:sz w:val="24"/>
          <w:szCs w:val="24"/>
        </w:rPr>
        <w:t xml:space="preserve"> Bahan hukum primer yang digunakan oleh penulis dal</w:t>
      </w:r>
      <w:r>
        <w:rPr>
          <w:rFonts w:ascii="Times New Roman" w:hAnsi="Times New Roman" w:cs="Times New Roman"/>
          <w:sz w:val="24"/>
          <w:szCs w:val="24"/>
        </w:rPr>
        <w:t xml:space="preserve">am penelitian ini antara lain: </w:t>
      </w:r>
      <w:r w:rsidRPr="00F343FA">
        <w:rPr>
          <w:rFonts w:ascii="Times New Roman" w:hAnsi="Times New Roman" w:cs="Times New Roman"/>
          <w:sz w:val="24"/>
          <w:szCs w:val="24"/>
        </w:rPr>
        <w:t>Undang-Undang Dasar 1945</w:t>
      </w:r>
      <w:r w:rsidRPr="00F343FA">
        <w:rPr>
          <w:rFonts w:ascii="Times New Roman" w:hAnsi="Times New Roman" w:cs="Times New Roman"/>
          <w:sz w:val="24"/>
          <w:szCs w:val="24"/>
          <w:lang w:val="id-ID"/>
        </w:rPr>
        <w:t xml:space="preserve"> (UUD 1945), </w:t>
      </w:r>
      <w:r w:rsidRPr="00F343FA">
        <w:rPr>
          <w:rFonts w:ascii="Times New Roman" w:hAnsi="Times New Roman" w:cs="Times New Roman"/>
          <w:sz w:val="24"/>
          <w:szCs w:val="24"/>
        </w:rPr>
        <w:t>Undang-Undang Nomor 19 Tahun 2016 Tentang Perubahan Atas Undang-Undang Nomor 11 Tahun 2008 Tentang Informasi Dan Transaksi Elektronik</w:t>
      </w:r>
      <w:r w:rsidRPr="00F343FA">
        <w:rPr>
          <w:rFonts w:ascii="Times New Roman" w:hAnsi="Times New Roman" w:cs="Times New Roman"/>
          <w:sz w:val="24"/>
          <w:szCs w:val="24"/>
          <w:lang w:val="id-ID"/>
        </w:rPr>
        <w:t xml:space="preserve"> (UU ITE)</w:t>
      </w:r>
      <w:r w:rsidRPr="00F343FA">
        <w:rPr>
          <w:rFonts w:ascii="Times New Roman" w:hAnsi="Times New Roman" w:cs="Times New Roman"/>
          <w:sz w:val="24"/>
          <w:szCs w:val="24"/>
        </w:rPr>
        <w:t xml:space="preserve">, Undang-Undang Nomor 8 Tahun 1981 tentang Kitab Undang-Undang Hukum Acara Pidana (KUHAP), Undang-Undang Nomor 73 Tahun 1958 tentang Menyatakan Berlakunya Undang-Undang No. 1 Tahun 1946 Republik Indonesia Tentang Peraturan Hukum Pidana Untuk Seluruh Wilayah Republik Indonesia Dan Mengubah Kitab Undang-Undang Hukum Pidana (KUHP), </w:t>
      </w:r>
      <w:r w:rsidRPr="00F343FA">
        <w:rPr>
          <w:rFonts w:ascii="Times New Roman" w:hAnsi="Times New Roman" w:cs="Times New Roman"/>
          <w:iCs/>
          <w:sz w:val="24"/>
          <w:szCs w:val="24"/>
        </w:rPr>
        <w:t>Undang-Undang Nomor 31 Tahun 2014 Tentang Perubahan Atas Undang- Undang Nomor 13 Tahun 2006 tentang Perlindungan Saksi dan Korban</w:t>
      </w:r>
      <w:r>
        <w:rPr>
          <w:rFonts w:ascii="Times New Roman" w:hAnsi="Times New Roman" w:cs="Times New Roman"/>
          <w:iCs/>
          <w:sz w:val="24"/>
          <w:szCs w:val="24"/>
          <w:lang w:val="id-ID"/>
        </w:rPr>
        <w:t xml:space="preserve"> (UU PSK)</w:t>
      </w:r>
      <w:r w:rsidRPr="00F343FA">
        <w:rPr>
          <w:rFonts w:ascii="Times New Roman" w:hAnsi="Times New Roman" w:cs="Times New Roman"/>
          <w:sz w:val="24"/>
          <w:szCs w:val="24"/>
        </w:rPr>
        <w:t>.</w:t>
      </w:r>
      <w:r>
        <w:rPr>
          <w:rFonts w:ascii="Times New Roman" w:hAnsi="Times New Roman" w:cs="Times New Roman"/>
          <w:sz w:val="24"/>
          <w:szCs w:val="24"/>
        </w:rPr>
        <w:t xml:space="preserve"> </w:t>
      </w:r>
      <w:r w:rsidRPr="008308E3">
        <w:rPr>
          <w:rFonts w:ascii="Times New Roman" w:hAnsi="Times New Roman" w:cs="Times New Roman"/>
          <w:sz w:val="24"/>
          <w:szCs w:val="24"/>
        </w:rPr>
        <w:t>Bahan hukum sekunder adalah dokumen atau bahan hukum yang memberikan penjelasan terhadap bahan</w:t>
      </w:r>
      <w:r w:rsidR="0081226A">
        <w:rPr>
          <w:rFonts w:ascii="Times New Roman" w:hAnsi="Times New Roman" w:cs="Times New Roman"/>
          <w:sz w:val="24"/>
          <w:szCs w:val="24"/>
        </w:rPr>
        <w:t xml:space="preserve"> hukum primer seperti buku-buku,</w:t>
      </w:r>
      <w:r>
        <w:rPr>
          <w:rFonts w:ascii="Times New Roman" w:hAnsi="Times New Roman" w:cs="Times New Roman"/>
          <w:sz w:val="24"/>
          <w:szCs w:val="24"/>
        </w:rPr>
        <w:t xml:space="preserve"> ar</w:t>
      </w:r>
      <w:r w:rsidR="0081226A">
        <w:rPr>
          <w:rFonts w:ascii="Times New Roman" w:hAnsi="Times New Roman" w:cs="Times New Roman"/>
          <w:sz w:val="24"/>
          <w:szCs w:val="24"/>
        </w:rPr>
        <w:t>tikel, jurnal, hasil penelitian,</w:t>
      </w:r>
      <w:r>
        <w:rPr>
          <w:rFonts w:ascii="Times New Roman" w:hAnsi="Times New Roman" w:cs="Times New Roman"/>
          <w:sz w:val="24"/>
          <w:szCs w:val="24"/>
        </w:rPr>
        <w:t xml:space="preserve"> </w:t>
      </w:r>
      <w:r w:rsidRPr="008308E3">
        <w:rPr>
          <w:rFonts w:ascii="Times New Roman" w:hAnsi="Times New Roman" w:cs="Times New Roman"/>
          <w:sz w:val="24"/>
          <w:szCs w:val="24"/>
        </w:rPr>
        <w:t>makalah dan lain sebagainya yang relevan dengan permasalahan yang akan dibahas</w:t>
      </w:r>
      <w:r>
        <w:rPr>
          <w:rFonts w:ascii="Times New Roman" w:hAnsi="Times New Roman" w:cs="Times New Roman"/>
          <w:sz w:val="24"/>
          <w:szCs w:val="24"/>
        </w:rPr>
        <w:t>.</w:t>
      </w:r>
      <w:r w:rsidRPr="00F343FA">
        <w:rPr>
          <w:rFonts w:ascii="Times New Roman" w:hAnsi="Times New Roman" w:cs="Times New Roman"/>
          <w:sz w:val="24"/>
          <w:szCs w:val="24"/>
        </w:rPr>
        <w:t xml:space="preserve"> Bahan hukum sekunder yang digunakan oleh </w:t>
      </w:r>
      <w:r w:rsidRPr="00832CA2">
        <w:rPr>
          <w:rFonts w:ascii="Times New Roman" w:hAnsi="Times New Roman" w:cs="Times New Roman"/>
          <w:sz w:val="24"/>
          <w:szCs w:val="24"/>
        </w:rPr>
        <w:t xml:space="preserve">penelitian ini </w:t>
      </w:r>
      <w:r>
        <w:rPr>
          <w:rFonts w:ascii="Times New Roman" w:hAnsi="Times New Roman" w:cs="Times New Roman"/>
          <w:sz w:val="24"/>
          <w:szCs w:val="24"/>
        </w:rPr>
        <w:t>antara lain</w:t>
      </w:r>
      <w:r w:rsidR="00846B02">
        <w:rPr>
          <w:rFonts w:ascii="Times New Roman" w:hAnsi="Times New Roman" w:cs="Times New Roman"/>
          <w:sz w:val="24"/>
          <w:szCs w:val="24"/>
        </w:rPr>
        <w:t>: buku,</w:t>
      </w:r>
      <w:r>
        <w:rPr>
          <w:rFonts w:ascii="Times New Roman" w:hAnsi="Times New Roman" w:cs="Times New Roman"/>
          <w:sz w:val="24"/>
          <w:szCs w:val="24"/>
        </w:rPr>
        <w:t xml:space="preserve"> </w:t>
      </w:r>
      <w:r w:rsidRPr="00F343FA">
        <w:rPr>
          <w:rFonts w:ascii="Times New Roman" w:hAnsi="Times New Roman" w:cs="Times New Roman"/>
          <w:sz w:val="24"/>
          <w:szCs w:val="24"/>
        </w:rPr>
        <w:t>serta jurnal hukum.</w:t>
      </w:r>
      <w:r>
        <w:rPr>
          <w:rFonts w:ascii="Times New Roman" w:hAnsi="Times New Roman" w:cs="Times New Roman"/>
          <w:sz w:val="24"/>
          <w:szCs w:val="24"/>
        </w:rPr>
        <w:t xml:space="preserve"> </w:t>
      </w:r>
      <w:r w:rsidRPr="00AB4EC9">
        <w:rPr>
          <w:rFonts w:ascii="Times New Roman" w:hAnsi="Times New Roman" w:cs="Times New Roman"/>
          <w:sz w:val="24"/>
          <w:szCs w:val="24"/>
        </w:rPr>
        <w:t>Teknik analisis data yang digunakan yakni</w:t>
      </w:r>
      <w:r w:rsidRPr="00AB4EC9">
        <w:rPr>
          <w:rFonts w:ascii="Times New Roman" w:eastAsia="Times New Roman" w:hAnsi="Times New Roman" w:cs="Times New Roman"/>
          <w:color w:val="000000"/>
          <w:sz w:val="24"/>
          <w:szCs w:val="24"/>
        </w:rPr>
        <w:t xml:space="preserve"> </w:t>
      </w:r>
      <w:r w:rsidRPr="00AB4EC9">
        <w:rPr>
          <w:rFonts w:ascii="Times New Roman" w:hAnsi="Times New Roman" w:cs="Times New Roman"/>
          <w:sz w:val="24"/>
          <w:szCs w:val="24"/>
        </w:rPr>
        <w:t>dengan cara analisis kualitatif</w:t>
      </w:r>
      <w:r w:rsidRPr="00AB4EC9">
        <w:rPr>
          <w:rFonts w:ascii="Times New Roman" w:eastAsia="Times New Roman" w:hAnsi="Times New Roman" w:cs="Times New Roman"/>
          <w:sz w:val="24"/>
          <w:szCs w:val="24"/>
          <w:lang w:val="id"/>
        </w:rPr>
        <w:t xml:space="preserve"> </w:t>
      </w:r>
      <w:r>
        <w:rPr>
          <w:rFonts w:ascii="Times New Roman" w:hAnsi="Times New Roman" w:cs="Times New Roman"/>
          <w:sz w:val="24"/>
          <w:szCs w:val="24"/>
          <w:lang w:val="id"/>
        </w:rPr>
        <w:t>yang dijelaskan secara deskrip</w:t>
      </w:r>
      <w:r w:rsidRPr="00AB4EC9">
        <w:rPr>
          <w:rFonts w:ascii="Times New Roman" w:hAnsi="Times New Roman" w:cs="Times New Roman"/>
          <w:sz w:val="24"/>
          <w:szCs w:val="24"/>
          <w:lang w:val="id"/>
        </w:rPr>
        <w:t xml:space="preserve">tif untuk menggambarkan bagaimana </w:t>
      </w:r>
      <w:r>
        <w:rPr>
          <w:rFonts w:ascii="Times New Roman" w:hAnsi="Times New Roman" w:cs="Times New Roman"/>
          <w:sz w:val="24"/>
          <w:szCs w:val="24"/>
        </w:rPr>
        <w:t>pertanggunggjawaban pidana terhadap pelaku.</w:t>
      </w:r>
    </w:p>
    <w:p w14:paraId="27BBDB45" w14:textId="77777777" w:rsidR="0028511D" w:rsidRPr="005F08E0" w:rsidRDefault="0028511D" w:rsidP="001A12EA">
      <w:pPr>
        <w:pStyle w:val="ListParagraph"/>
        <w:numPr>
          <w:ilvl w:val="0"/>
          <w:numId w:val="1"/>
        </w:numPr>
        <w:spacing w:after="0" w:line="276" w:lineRule="auto"/>
        <w:ind w:left="0" w:hanging="426"/>
        <w:jc w:val="both"/>
        <w:rPr>
          <w:rFonts w:ascii="Times New Roman" w:hAnsi="Times New Roman" w:cs="Times New Roman"/>
          <w:b/>
          <w:sz w:val="24"/>
          <w:szCs w:val="24"/>
        </w:rPr>
      </w:pPr>
      <w:r w:rsidRPr="005F08E0">
        <w:rPr>
          <w:rFonts w:ascii="Times New Roman" w:hAnsi="Times New Roman" w:cs="Times New Roman"/>
          <w:b/>
          <w:sz w:val="24"/>
          <w:szCs w:val="24"/>
        </w:rPr>
        <w:t>HASIL DAN PEMBAHASAN</w:t>
      </w:r>
    </w:p>
    <w:p w14:paraId="6CD79B6A" w14:textId="77777777" w:rsidR="0028511D" w:rsidRPr="0028511D" w:rsidRDefault="005F08E0" w:rsidP="001A12E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28511D" w:rsidRPr="0028511D">
        <w:rPr>
          <w:rFonts w:ascii="Times New Roman" w:hAnsi="Times New Roman" w:cs="Times New Roman"/>
          <w:b/>
          <w:sz w:val="24"/>
          <w:szCs w:val="24"/>
        </w:rPr>
        <w:t xml:space="preserve">Pengaturan Tindak </w:t>
      </w:r>
      <w:r w:rsidR="00182A22" w:rsidRPr="0028511D">
        <w:rPr>
          <w:rFonts w:ascii="Times New Roman" w:hAnsi="Times New Roman" w:cs="Times New Roman"/>
          <w:b/>
          <w:sz w:val="24"/>
          <w:szCs w:val="24"/>
        </w:rPr>
        <w:t xml:space="preserve">Pidana Bagi Pelaku </w:t>
      </w:r>
      <w:r w:rsidR="00182A22" w:rsidRPr="00527012">
        <w:rPr>
          <w:rFonts w:ascii="Times New Roman" w:hAnsi="Times New Roman" w:cs="Times New Roman"/>
          <w:b/>
          <w:i/>
          <w:sz w:val="24"/>
          <w:szCs w:val="24"/>
        </w:rPr>
        <w:t>Phising</w:t>
      </w:r>
    </w:p>
    <w:p w14:paraId="4DFB084C" w14:textId="1172FC3C" w:rsidR="00C576F2" w:rsidRPr="00C576F2" w:rsidRDefault="00C576F2" w:rsidP="002B2F21">
      <w:pPr>
        <w:spacing w:after="0" w:line="276" w:lineRule="auto"/>
        <w:ind w:firstLine="720"/>
        <w:jc w:val="both"/>
        <w:rPr>
          <w:rFonts w:ascii="Times New Roman" w:hAnsi="Times New Roman" w:cs="Times New Roman"/>
          <w:sz w:val="24"/>
          <w:szCs w:val="24"/>
        </w:rPr>
      </w:pPr>
      <w:r w:rsidRPr="00C576F2">
        <w:rPr>
          <w:rFonts w:ascii="Times New Roman" w:hAnsi="Times New Roman" w:cs="Times New Roman"/>
          <w:sz w:val="24"/>
          <w:szCs w:val="24"/>
        </w:rPr>
        <w:t xml:space="preserve">Pra terbentuknya UU ITE, kasus </w:t>
      </w:r>
      <w:r w:rsidRPr="002B5EB2">
        <w:rPr>
          <w:rFonts w:ascii="Times New Roman" w:hAnsi="Times New Roman" w:cs="Times New Roman"/>
          <w:i/>
          <w:sz w:val="24"/>
          <w:szCs w:val="24"/>
        </w:rPr>
        <w:t>cyber crime</w:t>
      </w:r>
      <w:r w:rsidRPr="00C576F2">
        <w:rPr>
          <w:rFonts w:ascii="Times New Roman" w:hAnsi="Times New Roman" w:cs="Times New Roman"/>
          <w:sz w:val="24"/>
          <w:szCs w:val="24"/>
        </w:rPr>
        <w:t xml:space="preserve"> di Indonesia diadili dengan menerapkan pasal yang memiliki kesesuaian unsur dalam Kitab Undang-Undang Hukum Pidana sehingga pemidanaan kepada para pelaku </w:t>
      </w:r>
      <w:r w:rsidRPr="002B5EB2">
        <w:rPr>
          <w:rFonts w:ascii="Times New Roman" w:hAnsi="Times New Roman" w:cs="Times New Roman"/>
          <w:i/>
          <w:sz w:val="24"/>
          <w:szCs w:val="24"/>
        </w:rPr>
        <w:t>cyber crime</w:t>
      </w:r>
      <w:r w:rsidRPr="00C576F2">
        <w:rPr>
          <w:rFonts w:ascii="Times New Roman" w:hAnsi="Times New Roman" w:cs="Times New Roman"/>
          <w:sz w:val="24"/>
          <w:szCs w:val="24"/>
        </w:rPr>
        <w:t xml:space="preserve"> menggunakan Kitab Undang-Undang Hukum Pidana atau disingkat dengan KUHP ini. Dalam KUHP, ketentuan pidana pada kasus </w:t>
      </w:r>
      <w:r w:rsidRPr="006D5089">
        <w:rPr>
          <w:rFonts w:ascii="Times New Roman" w:hAnsi="Times New Roman" w:cs="Times New Roman"/>
          <w:i/>
          <w:sz w:val="24"/>
          <w:szCs w:val="24"/>
        </w:rPr>
        <w:t>cyber crime</w:t>
      </w:r>
      <w:r w:rsidRPr="00C576F2">
        <w:rPr>
          <w:rFonts w:ascii="Times New Roman" w:hAnsi="Times New Roman" w:cs="Times New Roman"/>
          <w:sz w:val="24"/>
          <w:szCs w:val="24"/>
        </w:rPr>
        <w:t xml:space="preserve"> berbentuk </w:t>
      </w:r>
      <w:r w:rsidRPr="006D5089">
        <w:rPr>
          <w:rFonts w:ascii="Times New Roman" w:hAnsi="Times New Roman" w:cs="Times New Roman"/>
          <w:i/>
          <w:sz w:val="24"/>
          <w:szCs w:val="24"/>
        </w:rPr>
        <w:t>phising</w:t>
      </w:r>
      <w:r w:rsidRPr="00C576F2">
        <w:rPr>
          <w:rFonts w:ascii="Times New Roman" w:hAnsi="Times New Roman" w:cs="Times New Roman"/>
          <w:sz w:val="24"/>
          <w:szCs w:val="24"/>
        </w:rPr>
        <w:t xml:space="preserve"> dapat digunakan berdasarkan pasal 378 KUHP. Pengaturan hukum terhadap </w:t>
      </w:r>
      <w:r w:rsidRPr="002B5EB2">
        <w:rPr>
          <w:rFonts w:ascii="Times New Roman" w:hAnsi="Times New Roman" w:cs="Times New Roman"/>
          <w:i/>
          <w:sz w:val="24"/>
          <w:szCs w:val="24"/>
        </w:rPr>
        <w:t>cyber crime</w:t>
      </w:r>
      <w:r w:rsidRPr="00C576F2">
        <w:rPr>
          <w:rFonts w:ascii="Times New Roman" w:hAnsi="Times New Roman" w:cs="Times New Roman"/>
          <w:sz w:val="24"/>
          <w:szCs w:val="24"/>
        </w:rPr>
        <w:t xml:space="preserve"> dalam bentuk </w:t>
      </w:r>
      <w:r w:rsidRPr="00D0642D">
        <w:rPr>
          <w:rFonts w:ascii="Times New Roman" w:hAnsi="Times New Roman" w:cs="Times New Roman"/>
          <w:i/>
          <w:sz w:val="24"/>
          <w:szCs w:val="24"/>
        </w:rPr>
        <w:t>phising</w:t>
      </w:r>
      <w:r w:rsidRPr="00C576F2">
        <w:rPr>
          <w:rFonts w:ascii="Times New Roman" w:hAnsi="Times New Roman" w:cs="Times New Roman"/>
          <w:sz w:val="24"/>
          <w:szCs w:val="24"/>
        </w:rPr>
        <w:t xml:space="preserve"> diatur di dalam Pasal 378 KUHP tentang penipuan sebagaimana yang diketahui bahwa</w:t>
      </w:r>
      <w:r w:rsidRPr="00D0642D">
        <w:rPr>
          <w:rFonts w:ascii="Times New Roman" w:hAnsi="Times New Roman" w:cs="Times New Roman"/>
          <w:i/>
          <w:sz w:val="24"/>
          <w:szCs w:val="24"/>
        </w:rPr>
        <w:t xml:space="preserve"> phising</w:t>
      </w:r>
      <w:r w:rsidRPr="00C576F2">
        <w:rPr>
          <w:rFonts w:ascii="Times New Roman" w:hAnsi="Times New Roman" w:cs="Times New Roman"/>
          <w:sz w:val="24"/>
          <w:szCs w:val="24"/>
        </w:rPr>
        <w:t xml:space="preserve"> </w:t>
      </w:r>
      <w:r w:rsidRPr="00C576F2">
        <w:rPr>
          <w:rFonts w:ascii="Times New Roman" w:hAnsi="Times New Roman" w:cs="Times New Roman"/>
          <w:sz w:val="24"/>
          <w:szCs w:val="24"/>
        </w:rPr>
        <w:lastRenderedPageBreak/>
        <w:t>secara umum merupakan tindakan penipuan.</w:t>
      </w:r>
      <w:r w:rsidR="00517575">
        <w:rPr>
          <w:rFonts w:ascii="Times New Roman" w:hAnsi="Times New Roman" w:cs="Times New Roman"/>
          <w:sz w:val="24"/>
          <w:szCs w:val="24"/>
        </w:rPr>
        <w:t xml:space="preserve"> </w:t>
      </w:r>
      <w:r w:rsidRPr="00C576F2">
        <w:rPr>
          <w:rFonts w:ascii="Times New Roman" w:hAnsi="Times New Roman" w:cs="Times New Roman"/>
          <w:sz w:val="24"/>
          <w:szCs w:val="24"/>
        </w:rPr>
        <w:t>Penipuan yang dirumuskan di dalam Pasal 378 KUHP adalah: Barang siapa dengan maksud untuk menguntungkan diri sendiri atau orang lain secara melawan hukum, dengan memakai nama palsu atau martabat palsu, dengan tipu muslihat, ataupun rangkaian kebohongan, menggerakkan orang lain untuk menyerahkan barang sesuatu kepadanya, atau supaya memberi hutang maupun menghapuskan piutang, diancam karena penipuan dengan pidana penjara paling lama empat tahun.</w:t>
      </w:r>
      <w:r w:rsidR="002B2F21">
        <w:rPr>
          <w:rFonts w:ascii="Times New Roman" w:hAnsi="Times New Roman" w:cs="Times New Roman"/>
          <w:sz w:val="24"/>
          <w:szCs w:val="24"/>
        </w:rPr>
        <w:t xml:space="preserve"> </w:t>
      </w:r>
      <w:r w:rsidRPr="00C576F2">
        <w:rPr>
          <w:rFonts w:ascii="Times New Roman" w:hAnsi="Times New Roman" w:cs="Times New Roman"/>
          <w:sz w:val="24"/>
          <w:szCs w:val="24"/>
        </w:rPr>
        <w:t xml:space="preserve">Penggunaan pasal 378 KUHP dalam pemidanaan terhadap kasus </w:t>
      </w:r>
      <w:r w:rsidRPr="00A0758E">
        <w:rPr>
          <w:rFonts w:ascii="Times New Roman" w:hAnsi="Times New Roman" w:cs="Times New Roman"/>
          <w:i/>
          <w:sz w:val="24"/>
          <w:szCs w:val="24"/>
        </w:rPr>
        <w:t>cyber crime</w:t>
      </w:r>
      <w:r w:rsidRPr="00C576F2">
        <w:rPr>
          <w:rFonts w:ascii="Times New Roman" w:hAnsi="Times New Roman" w:cs="Times New Roman"/>
          <w:sz w:val="24"/>
          <w:szCs w:val="24"/>
        </w:rPr>
        <w:t xml:space="preserve"> hanya dilakukan berdasarkan penafsiran dikarenakan terdapat perbedaan jenis tindak pidana </w:t>
      </w:r>
      <w:r w:rsidRPr="00A0758E">
        <w:rPr>
          <w:rFonts w:ascii="Times New Roman" w:hAnsi="Times New Roman" w:cs="Times New Roman"/>
          <w:i/>
          <w:sz w:val="24"/>
          <w:szCs w:val="24"/>
        </w:rPr>
        <w:t>cyber crime</w:t>
      </w:r>
      <w:r w:rsidRPr="00C576F2">
        <w:rPr>
          <w:rFonts w:ascii="Times New Roman" w:hAnsi="Times New Roman" w:cs="Times New Roman"/>
          <w:sz w:val="24"/>
          <w:szCs w:val="24"/>
        </w:rPr>
        <w:t xml:space="preserve"> dengan tindak pidana konvensional yang ada, walaupun metode </w:t>
      </w:r>
      <w:r w:rsidRPr="00D0642D">
        <w:rPr>
          <w:rFonts w:ascii="Times New Roman" w:hAnsi="Times New Roman" w:cs="Times New Roman"/>
          <w:i/>
          <w:sz w:val="24"/>
          <w:szCs w:val="24"/>
        </w:rPr>
        <w:t>phising</w:t>
      </w:r>
      <w:r w:rsidRPr="00C576F2">
        <w:rPr>
          <w:rFonts w:ascii="Times New Roman" w:hAnsi="Times New Roman" w:cs="Times New Roman"/>
          <w:sz w:val="24"/>
          <w:szCs w:val="24"/>
        </w:rPr>
        <w:t xml:space="preserve"> dan penipuan dalam KUHP ada kesamaan unsur perbuatannya akan tetapi tetap ada perbedaan mulai dari bentuk tindak pidana, dalam menentukan </w:t>
      </w:r>
      <w:r w:rsidRPr="00F53417">
        <w:rPr>
          <w:rFonts w:ascii="Times New Roman" w:hAnsi="Times New Roman" w:cs="Times New Roman"/>
          <w:i/>
          <w:sz w:val="24"/>
          <w:szCs w:val="24"/>
        </w:rPr>
        <w:t>locus delicti</w:t>
      </w:r>
      <w:r w:rsidRPr="00C576F2">
        <w:rPr>
          <w:rFonts w:ascii="Times New Roman" w:hAnsi="Times New Roman" w:cs="Times New Roman"/>
          <w:sz w:val="24"/>
          <w:szCs w:val="24"/>
        </w:rPr>
        <w:t xml:space="preserve"> sampai </w:t>
      </w:r>
      <w:r w:rsidRPr="00F53417">
        <w:rPr>
          <w:rFonts w:ascii="Times New Roman" w:hAnsi="Times New Roman" w:cs="Times New Roman"/>
          <w:i/>
          <w:sz w:val="24"/>
          <w:szCs w:val="24"/>
        </w:rPr>
        <w:t>tempos delicti</w:t>
      </w:r>
      <w:r w:rsidRPr="00C576F2">
        <w:rPr>
          <w:rFonts w:ascii="Times New Roman" w:hAnsi="Times New Roman" w:cs="Times New Roman"/>
          <w:sz w:val="24"/>
          <w:szCs w:val="24"/>
        </w:rPr>
        <w:t xml:space="preserve">-nya. Tindak pidana </w:t>
      </w:r>
      <w:r w:rsidRPr="00937F3F">
        <w:rPr>
          <w:rFonts w:ascii="Times New Roman" w:hAnsi="Times New Roman" w:cs="Times New Roman"/>
          <w:i/>
          <w:sz w:val="24"/>
          <w:szCs w:val="24"/>
        </w:rPr>
        <w:t>cyber crime</w:t>
      </w:r>
      <w:r w:rsidRPr="00C576F2">
        <w:rPr>
          <w:rFonts w:ascii="Times New Roman" w:hAnsi="Times New Roman" w:cs="Times New Roman"/>
          <w:sz w:val="24"/>
          <w:szCs w:val="24"/>
        </w:rPr>
        <w:t xml:space="preserve"> adalah suatu pengelompokkan dari jenis tindak pidana yang merupakan golongan baru, dikarenakan </w:t>
      </w:r>
      <w:r w:rsidRPr="00937F3F">
        <w:rPr>
          <w:rFonts w:ascii="Times New Roman" w:hAnsi="Times New Roman" w:cs="Times New Roman"/>
          <w:i/>
          <w:sz w:val="24"/>
          <w:szCs w:val="24"/>
        </w:rPr>
        <w:t>cyber crime</w:t>
      </w:r>
      <w:r w:rsidRPr="00C576F2">
        <w:rPr>
          <w:rFonts w:ascii="Times New Roman" w:hAnsi="Times New Roman" w:cs="Times New Roman"/>
          <w:sz w:val="24"/>
          <w:szCs w:val="24"/>
        </w:rPr>
        <w:t xml:space="preserve"> mengikuti perkembangan teknologi yang sedang berkembang pesat. Hal tersebut memerlukan adanya suatu aturan khusus yang jelas dalam menangani tindak pidana </w:t>
      </w:r>
      <w:r w:rsidRPr="006D2BC0">
        <w:rPr>
          <w:rFonts w:ascii="Times New Roman" w:hAnsi="Times New Roman" w:cs="Times New Roman"/>
          <w:i/>
          <w:sz w:val="24"/>
          <w:szCs w:val="24"/>
        </w:rPr>
        <w:t>cyber crime</w:t>
      </w:r>
      <w:r w:rsidRPr="00C576F2">
        <w:rPr>
          <w:rFonts w:ascii="Times New Roman" w:hAnsi="Times New Roman" w:cs="Times New Roman"/>
          <w:sz w:val="24"/>
          <w:szCs w:val="24"/>
        </w:rPr>
        <w:t xml:space="preserve"> ini. Karena apabila hanya mengandalkan penafsiran saja akan membuat terbenturnya suatu tatanan hukum sehingga membuat praktik penegakan hukum kurang maksimal.</w:t>
      </w:r>
    </w:p>
    <w:p w14:paraId="11F30A5A" w14:textId="16293A6A" w:rsidR="006046D5" w:rsidRPr="006046D5" w:rsidRDefault="006046D5" w:rsidP="002B2F21">
      <w:pPr>
        <w:spacing w:after="0" w:line="276" w:lineRule="auto"/>
        <w:ind w:firstLine="720"/>
        <w:jc w:val="both"/>
        <w:rPr>
          <w:rFonts w:ascii="Times New Roman" w:hAnsi="Times New Roman" w:cs="Times New Roman"/>
          <w:sz w:val="24"/>
          <w:szCs w:val="24"/>
        </w:rPr>
      </w:pPr>
      <w:r w:rsidRPr="006046D5">
        <w:rPr>
          <w:rFonts w:ascii="Times New Roman" w:hAnsi="Times New Roman" w:cs="Times New Roman"/>
          <w:sz w:val="24"/>
          <w:szCs w:val="24"/>
        </w:rPr>
        <w:t>Barda Nawawi Arief mengungkapkan, KUHP yang direncanakan bertolak dari pokok pemikiran keseimbangan monodualistik, dalam arti memperhatikan keseimbangan dua kepentingan antara kepentingan masyarakat dan kepentingan individu. Pandangan monodualistik inilah yang biasanya dikenal dengan istilah “</w:t>
      </w:r>
      <w:r w:rsidRPr="00232B96">
        <w:rPr>
          <w:rFonts w:ascii="Times New Roman" w:hAnsi="Times New Roman" w:cs="Times New Roman"/>
          <w:i/>
          <w:sz w:val="24"/>
          <w:szCs w:val="24"/>
        </w:rPr>
        <w:t>Daad-dader Strafrecht</w:t>
      </w:r>
      <w:r w:rsidRPr="006046D5">
        <w:rPr>
          <w:rFonts w:ascii="Times New Roman" w:hAnsi="Times New Roman" w:cs="Times New Roman"/>
          <w:sz w:val="24"/>
          <w:szCs w:val="24"/>
        </w:rPr>
        <w:t>”, yaitu hukum pidana yang memperhatikan segi-segi obyektif dari perbuatan dan juga segi-segi subjektif dari orang/ pembuat.</w:t>
      </w:r>
      <w:r w:rsidR="00A82569">
        <w:rPr>
          <w:rStyle w:val="FootnoteReference"/>
          <w:rFonts w:ascii="Times New Roman" w:hAnsi="Times New Roman" w:cs="Times New Roman"/>
          <w:sz w:val="24"/>
          <w:szCs w:val="24"/>
        </w:rPr>
        <w:footnoteReference w:id="14"/>
      </w:r>
      <w:r w:rsidR="002B2F21">
        <w:rPr>
          <w:rFonts w:ascii="Times New Roman" w:hAnsi="Times New Roman" w:cs="Times New Roman"/>
          <w:sz w:val="24"/>
          <w:szCs w:val="24"/>
        </w:rPr>
        <w:t xml:space="preserve"> </w:t>
      </w:r>
      <w:r w:rsidRPr="006046D5">
        <w:rPr>
          <w:rFonts w:ascii="Times New Roman" w:hAnsi="Times New Roman" w:cs="Times New Roman"/>
          <w:sz w:val="24"/>
          <w:szCs w:val="24"/>
        </w:rPr>
        <w:t xml:space="preserve">Hukum pada prinsipnya merupakan pengaturan terhadap </w:t>
      </w:r>
      <w:r w:rsidR="008F1BA9">
        <w:rPr>
          <w:rFonts w:ascii="Times New Roman" w:hAnsi="Times New Roman" w:cs="Times New Roman"/>
          <w:sz w:val="24"/>
          <w:szCs w:val="24"/>
        </w:rPr>
        <w:t>perilaku</w:t>
      </w:r>
      <w:r w:rsidR="008F1BA9" w:rsidRPr="006046D5">
        <w:rPr>
          <w:rFonts w:ascii="Times New Roman" w:hAnsi="Times New Roman" w:cs="Times New Roman"/>
          <w:sz w:val="24"/>
          <w:szCs w:val="24"/>
        </w:rPr>
        <w:t xml:space="preserve"> </w:t>
      </w:r>
      <w:r w:rsidRPr="006046D5">
        <w:rPr>
          <w:rFonts w:ascii="Times New Roman" w:hAnsi="Times New Roman" w:cs="Times New Roman"/>
          <w:sz w:val="24"/>
          <w:szCs w:val="24"/>
        </w:rPr>
        <w:t xml:space="preserve">seseorang dan masyarakat yang terhadap pelanggarnya diberikan sanksi oleh negara. Meskipun dunia </w:t>
      </w:r>
      <w:r w:rsidRPr="00232B96">
        <w:rPr>
          <w:rFonts w:ascii="Times New Roman" w:hAnsi="Times New Roman" w:cs="Times New Roman"/>
          <w:i/>
          <w:sz w:val="24"/>
          <w:szCs w:val="24"/>
        </w:rPr>
        <w:t>cyber</w:t>
      </w:r>
      <w:r w:rsidRPr="006046D5">
        <w:rPr>
          <w:rFonts w:ascii="Times New Roman" w:hAnsi="Times New Roman" w:cs="Times New Roman"/>
          <w:sz w:val="24"/>
          <w:szCs w:val="24"/>
        </w:rPr>
        <w:t xml:space="preserve"> adalah dunia virtual, hukum tetap diperlukan untuk mengatur sikap tindak masyarakat, setidaknya ada dua hal yakni: </w:t>
      </w:r>
      <w:r w:rsidRPr="00D16728">
        <w:rPr>
          <w:rFonts w:ascii="Times New Roman" w:hAnsi="Times New Roman" w:cs="Times New Roman"/>
          <w:i/>
          <w:sz w:val="24"/>
          <w:szCs w:val="24"/>
        </w:rPr>
        <w:t>Pertama</w:t>
      </w:r>
      <w:r w:rsidR="00D16728">
        <w:rPr>
          <w:rFonts w:ascii="Times New Roman" w:hAnsi="Times New Roman" w:cs="Times New Roman"/>
          <w:sz w:val="24"/>
          <w:szCs w:val="24"/>
        </w:rPr>
        <w:t>,</w:t>
      </w:r>
      <w:r w:rsidRPr="006046D5">
        <w:rPr>
          <w:rFonts w:ascii="Times New Roman" w:hAnsi="Times New Roman" w:cs="Times New Roman"/>
          <w:sz w:val="24"/>
          <w:szCs w:val="24"/>
        </w:rPr>
        <w:t xml:space="preserve"> masyarakat yang ada didunia maya adalah masyarakat yang ada di dunia nyata, masyarakat memiliki nilai dan kepentingan baik secara sendiri-sendiri maupun bersama-sama harus dilindungi. </w:t>
      </w:r>
      <w:r w:rsidRPr="00D16728">
        <w:rPr>
          <w:rFonts w:ascii="Times New Roman" w:hAnsi="Times New Roman" w:cs="Times New Roman"/>
          <w:i/>
          <w:sz w:val="24"/>
          <w:szCs w:val="24"/>
        </w:rPr>
        <w:t>Kedua</w:t>
      </w:r>
      <w:r w:rsidRPr="006046D5">
        <w:rPr>
          <w:rFonts w:ascii="Times New Roman" w:hAnsi="Times New Roman" w:cs="Times New Roman"/>
          <w:sz w:val="24"/>
          <w:szCs w:val="24"/>
        </w:rPr>
        <w:t>, walaupun terjadi di dunia maya, transaksi yang dilakukan oleh masyarakat memiliki pengaruh dalam dunia nyata, baik secar</w:t>
      </w:r>
      <w:r w:rsidR="00AD09C7">
        <w:rPr>
          <w:rFonts w:ascii="Times New Roman" w:hAnsi="Times New Roman" w:cs="Times New Roman"/>
          <w:sz w:val="24"/>
          <w:szCs w:val="24"/>
        </w:rPr>
        <w:t>a ekonomis maupun non ekonomis</w:t>
      </w:r>
      <w:r w:rsidRPr="006046D5">
        <w:rPr>
          <w:rFonts w:ascii="Times New Roman" w:hAnsi="Times New Roman" w:cs="Times New Roman"/>
          <w:sz w:val="24"/>
          <w:szCs w:val="24"/>
        </w:rPr>
        <w:t>.</w:t>
      </w:r>
      <w:r w:rsidR="00C10704">
        <w:rPr>
          <w:rStyle w:val="FootnoteReference"/>
          <w:rFonts w:ascii="Times New Roman" w:hAnsi="Times New Roman" w:cs="Times New Roman"/>
          <w:sz w:val="24"/>
          <w:szCs w:val="24"/>
        </w:rPr>
        <w:footnoteReference w:id="15"/>
      </w:r>
    </w:p>
    <w:p w14:paraId="33E0CD3A" w14:textId="6BFB08B8" w:rsidR="006046D5" w:rsidRPr="006046D5" w:rsidRDefault="006046D5" w:rsidP="005807A2">
      <w:pPr>
        <w:spacing w:after="0" w:line="276" w:lineRule="auto"/>
        <w:ind w:firstLine="720"/>
        <w:jc w:val="both"/>
        <w:rPr>
          <w:rFonts w:ascii="Times New Roman" w:hAnsi="Times New Roman" w:cs="Times New Roman"/>
          <w:sz w:val="24"/>
          <w:szCs w:val="24"/>
        </w:rPr>
      </w:pPr>
      <w:r w:rsidRPr="006046D5">
        <w:rPr>
          <w:rFonts w:ascii="Times New Roman" w:hAnsi="Times New Roman" w:cs="Times New Roman"/>
          <w:sz w:val="24"/>
          <w:szCs w:val="24"/>
        </w:rPr>
        <w:t xml:space="preserve">Perbuatan pelaku juga bukan hanya membuat situs palsu yang seolah-olah menyerupai website asli namun juga berbohong untuk menipu korban sehingga banyak korban yang mengalami kerugian dikarenakan informasi pribadi diketahui oleh pelaku </w:t>
      </w:r>
      <w:r w:rsidRPr="00D0642D">
        <w:rPr>
          <w:rFonts w:ascii="Times New Roman" w:hAnsi="Times New Roman" w:cs="Times New Roman"/>
          <w:i/>
          <w:sz w:val="24"/>
          <w:szCs w:val="24"/>
        </w:rPr>
        <w:t>phising</w:t>
      </w:r>
      <w:r w:rsidRPr="006046D5">
        <w:rPr>
          <w:rFonts w:ascii="Times New Roman" w:hAnsi="Times New Roman" w:cs="Times New Roman"/>
          <w:sz w:val="24"/>
          <w:szCs w:val="24"/>
        </w:rPr>
        <w:t xml:space="preserve"> sehingga dapat dikenakan pasal 28 ayat (1) jo Pasal 4</w:t>
      </w:r>
      <w:r w:rsidR="008755BB">
        <w:rPr>
          <w:rFonts w:ascii="Times New Roman" w:hAnsi="Times New Roman" w:cs="Times New Roman"/>
          <w:sz w:val="24"/>
          <w:szCs w:val="24"/>
        </w:rPr>
        <w:t xml:space="preserve">5A ayat (1) </w:t>
      </w:r>
      <w:r w:rsidR="00835850">
        <w:rPr>
          <w:rFonts w:ascii="Times New Roman" w:hAnsi="Times New Roman" w:cs="Times New Roman"/>
          <w:sz w:val="24"/>
          <w:szCs w:val="24"/>
        </w:rPr>
        <w:t xml:space="preserve">UU ITE </w:t>
      </w:r>
      <w:r w:rsidRPr="006046D5">
        <w:rPr>
          <w:rFonts w:ascii="Times New Roman" w:hAnsi="Times New Roman" w:cs="Times New Roman"/>
          <w:sz w:val="24"/>
          <w:szCs w:val="24"/>
        </w:rPr>
        <w:t xml:space="preserve">mengenai perubahan atas Undang-Undang No.11 Tahun 2008 mengenai Informasi dan Transaksi Elektronik atas tindakan kebohongan. </w:t>
      </w:r>
    </w:p>
    <w:p w14:paraId="522DFC31" w14:textId="77777777" w:rsidR="006046D5" w:rsidRPr="006046D5" w:rsidRDefault="006046D5" w:rsidP="00CB73B3">
      <w:pPr>
        <w:spacing w:line="276" w:lineRule="auto"/>
        <w:jc w:val="both"/>
        <w:rPr>
          <w:rFonts w:ascii="Times New Roman" w:hAnsi="Times New Roman" w:cs="Times New Roman"/>
          <w:sz w:val="24"/>
          <w:szCs w:val="24"/>
        </w:rPr>
      </w:pPr>
      <w:r w:rsidRPr="006046D5">
        <w:rPr>
          <w:rFonts w:ascii="Times New Roman" w:hAnsi="Times New Roman" w:cs="Times New Roman"/>
          <w:sz w:val="24"/>
          <w:szCs w:val="24"/>
        </w:rPr>
        <w:t xml:space="preserve">a. Pasal 28 ayat (1) bahwa “Setiap orang yang melakukan secara sengaja, dan tanpa kewenangan menyebarkan kabar hoaks dan sesat yang menyebabkan kerugian bagi pengguna dalam transaksi elektronik”. </w:t>
      </w:r>
    </w:p>
    <w:p w14:paraId="4930C0A3" w14:textId="77777777" w:rsidR="006046D5" w:rsidRPr="006046D5" w:rsidRDefault="006046D5" w:rsidP="005807A2">
      <w:pPr>
        <w:spacing w:after="0" w:line="276" w:lineRule="auto"/>
        <w:jc w:val="both"/>
        <w:rPr>
          <w:rFonts w:ascii="Times New Roman" w:hAnsi="Times New Roman" w:cs="Times New Roman"/>
          <w:sz w:val="24"/>
          <w:szCs w:val="24"/>
        </w:rPr>
      </w:pPr>
      <w:r w:rsidRPr="006046D5">
        <w:rPr>
          <w:rFonts w:ascii="Times New Roman" w:hAnsi="Times New Roman" w:cs="Times New Roman"/>
          <w:sz w:val="24"/>
          <w:szCs w:val="24"/>
        </w:rPr>
        <w:lastRenderedPageBreak/>
        <w:t>b. Pasal 45A ayat (1) bahwa “Setiap orang yang memenuhi pasal 28 ayat (1) maka dipidana dengan pidana penjara paling lama 6(enam) tahun dan/atau denda paling banyak Rp1.000.000.000,00(satu miliar rupiah).</w:t>
      </w:r>
    </w:p>
    <w:p w14:paraId="6E5B0913" w14:textId="77777777" w:rsidR="006046D5" w:rsidRPr="006046D5" w:rsidRDefault="006046D5" w:rsidP="005807A2">
      <w:pPr>
        <w:spacing w:after="0" w:line="276" w:lineRule="auto"/>
        <w:ind w:firstLine="720"/>
        <w:jc w:val="both"/>
        <w:rPr>
          <w:rFonts w:ascii="Times New Roman" w:hAnsi="Times New Roman" w:cs="Times New Roman"/>
          <w:sz w:val="24"/>
          <w:szCs w:val="24"/>
        </w:rPr>
      </w:pPr>
      <w:r w:rsidRPr="006046D5">
        <w:rPr>
          <w:rFonts w:ascii="Times New Roman" w:hAnsi="Times New Roman" w:cs="Times New Roman"/>
          <w:sz w:val="24"/>
          <w:szCs w:val="24"/>
        </w:rPr>
        <w:t xml:space="preserve">UU ITE hanya menjelaskan bahwa bentuk dari pemenuhan hak atas perlindungan bagi para korban dalam sebuah transaksi elektronik atau </w:t>
      </w:r>
      <w:r w:rsidRPr="006046D5">
        <w:rPr>
          <w:rFonts w:ascii="Times New Roman" w:hAnsi="Times New Roman" w:cs="Times New Roman"/>
          <w:i/>
          <w:sz w:val="24"/>
          <w:szCs w:val="24"/>
        </w:rPr>
        <w:t xml:space="preserve">cyber crime </w:t>
      </w:r>
      <w:r w:rsidRPr="006046D5">
        <w:rPr>
          <w:rFonts w:ascii="Times New Roman" w:hAnsi="Times New Roman" w:cs="Times New Roman"/>
          <w:sz w:val="24"/>
          <w:szCs w:val="24"/>
        </w:rPr>
        <w:t xml:space="preserve">ini hanya diberikan solusi berupa bentuk penyelesaian perkara berupa ketentuan pemidanaan yang ditujukan kepada pelaku tindak pidana dimana hal tersebut tercantum pada pasal 45A ayat (1) UU ITE hukumannya adalah pidana penjara dan/atau pidana denda. Pemidanaan terhadap pelaku untuk menegakkan hukum bagi para korban dianggap sebagai langkah yang tepat sehingga kebanyakan bentuk ketentuan pidana yang tercantum dalam UU ITE dan juga KUHP, dirancang dengan pemberian sanksi berupa pidana penjara dan pidana denda karena dirasa sudah bisa terselesaikan perkara tersebut dengan memberikan efek jera terhadap pelaku. Sehingga, pidana penjara dan pidana denda bagi pelaku tindak pidana dirasa tidak optimal dalam melindungi dan memenuhi hak para korban untuk mengganti kerugian secara materiil yang tidak sepatutnya korban alami, terlebih khusus bagi korban </w:t>
      </w:r>
      <w:r w:rsidRPr="006046D5">
        <w:rPr>
          <w:rFonts w:ascii="Times New Roman" w:hAnsi="Times New Roman" w:cs="Times New Roman"/>
          <w:i/>
          <w:sz w:val="24"/>
          <w:szCs w:val="24"/>
        </w:rPr>
        <w:t>cyber crime</w:t>
      </w:r>
      <w:r w:rsidRPr="006046D5">
        <w:rPr>
          <w:rFonts w:ascii="Times New Roman" w:hAnsi="Times New Roman" w:cs="Times New Roman"/>
          <w:sz w:val="24"/>
          <w:szCs w:val="24"/>
        </w:rPr>
        <w:t xml:space="preserve"> yang perekonomiannya lemah. Hal ini pun dianggap juga sebagai hak warga negara untuk mendapat jaminan, dan perlindungan hukum yang seadil-adilnya.</w:t>
      </w:r>
    </w:p>
    <w:p w14:paraId="35781244" w14:textId="77777777" w:rsidR="006046D5" w:rsidRPr="006046D5" w:rsidRDefault="006046D5" w:rsidP="00951355">
      <w:pPr>
        <w:spacing w:after="0" w:line="276" w:lineRule="auto"/>
        <w:ind w:firstLine="720"/>
        <w:jc w:val="both"/>
        <w:rPr>
          <w:rFonts w:ascii="Times New Roman" w:hAnsi="Times New Roman" w:cs="Times New Roman"/>
          <w:sz w:val="24"/>
          <w:szCs w:val="24"/>
        </w:rPr>
      </w:pPr>
      <w:r w:rsidRPr="006046D5">
        <w:rPr>
          <w:rFonts w:ascii="Times New Roman" w:hAnsi="Times New Roman" w:cs="Times New Roman"/>
          <w:sz w:val="24"/>
          <w:szCs w:val="24"/>
        </w:rPr>
        <w:t xml:space="preserve">Kerugian materiil bagi korban tindak pidana </w:t>
      </w:r>
      <w:r w:rsidRPr="006046D5">
        <w:rPr>
          <w:rFonts w:ascii="Times New Roman" w:hAnsi="Times New Roman" w:cs="Times New Roman"/>
          <w:i/>
          <w:sz w:val="24"/>
          <w:szCs w:val="24"/>
        </w:rPr>
        <w:t>cyber crime</w:t>
      </w:r>
      <w:r w:rsidRPr="006046D5">
        <w:rPr>
          <w:rFonts w:ascii="Times New Roman" w:hAnsi="Times New Roman" w:cs="Times New Roman"/>
          <w:sz w:val="24"/>
          <w:szCs w:val="24"/>
        </w:rPr>
        <w:t xml:space="preserve"> berbentuk </w:t>
      </w:r>
      <w:r w:rsidRPr="006046D5">
        <w:rPr>
          <w:rFonts w:ascii="Times New Roman" w:hAnsi="Times New Roman" w:cs="Times New Roman"/>
          <w:i/>
          <w:sz w:val="24"/>
          <w:szCs w:val="24"/>
        </w:rPr>
        <w:t>phising</w:t>
      </w:r>
      <w:r w:rsidRPr="006046D5">
        <w:rPr>
          <w:rFonts w:ascii="Times New Roman" w:hAnsi="Times New Roman" w:cs="Times New Roman"/>
          <w:sz w:val="24"/>
          <w:szCs w:val="24"/>
        </w:rPr>
        <w:t xml:space="preserve"> ini, restitusi adalah metode yang tepat. Seperti dalam Pasal 1 Angka 11 yang menyebutkan bahwa “restitusi adalah ganti kerugian yang diberikan kepada korban atau keluarganya oleh pelaku atau pihak ketiga.” Hal ini diatur juga dalam Pasal 1 Angka 8 Undang-Undang Nomor 31 Tahun 2014 Tentang Perubahan Atas Undang- Undang Nomor 13 Tahun 2006 tentang Perlindungan Saksi dan Korban, yang menyebutkan, “perlindungan adalah segala upaya pemenuhan hak dan pemberian bantuan untuk memberikan rasa aman kepada Saksi dan/atau Korban yang wajib dilaksanakan oleh LPSK atau lembaga lainnya sesuai dengan ketentuan Undang-Undang ini.</w:t>
      </w:r>
    </w:p>
    <w:p w14:paraId="5A6197FD" w14:textId="77777777" w:rsidR="006046D5" w:rsidRPr="006046D5" w:rsidRDefault="006046D5" w:rsidP="00951355">
      <w:pPr>
        <w:spacing w:after="0" w:line="276" w:lineRule="auto"/>
        <w:ind w:firstLine="720"/>
        <w:jc w:val="both"/>
        <w:rPr>
          <w:rFonts w:ascii="Times New Roman" w:hAnsi="Times New Roman" w:cs="Times New Roman"/>
          <w:sz w:val="24"/>
          <w:szCs w:val="24"/>
        </w:rPr>
      </w:pPr>
      <w:r w:rsidRPr="006046D5">
        <w:rPr>
          <w:rFonts w:ascii="Times New Roman" w:hAnsi="Times New Roman" w:cs="Times New Roman"/>
          <w:sz w:val="24"/>
          <w:szCs w:val="24"/>
        </w:rPr>
        <w:t xml:space="preserve">Undang-undang perlindungan saksi dan korban yaitu masih bersifat fakultatif, karena tergantung pada keputusan LPSK untuk pemenuhan hak-hak saksi dan korban tersebut. Kelemahan lainnya yaitu : Kelemahan undang-undang ini tidak menjelaskan lebih lanjut pada tindak pidana apa saja restitusi tersebut dapat diajukan, sehingga penegak hukum tidak serta merta memfasilitasi korban terhadap pengajuan hak atas restitusi tersebut. Oleh karena itu pengajuan hak korban atas restitusi menjadi suatu ketidakpastian, yang bermuara pada ketidak-pastian jenis atau kualifikasi tindak pidana sebagai syaratnya. </w:t>
      </w:r>
    </w:p>
    <w:p w14:paraId="6D10A437" w14:textId="068F0BDC" w:rsidR="006046D5" w:rsidRPr="006046D5" w:rsidRDefault="006046D5" w:rsidP="00951355">
      <w:pPr>
        <w:spacing w:after="0" w:line="276" w:lineRule="auto"/>
        <w:ind w:firstLine="720"/>
        <w:jc w:val="both"/>
        <w:rPr>
          <w:rFonts w:ascii="Times New Roman" w:hAnsi="Times New Roman" w:cs="Times New Roman"/>
          <w:sz w:val="24"/>
          <w:szCs w:val="24"/>
        </w:rPr>
      </w:pPr>
      <w:r w:rsidRPr="006046D5">
        <w:rPr>
          <w:rFonts w:ascii="Times New Roman" w:hAnsi="Times New Roman" w:cs="Times New Roman"/>
          <w:sz w:val="24"/>
          <w:szCs w:val="24"/>
        </w:rPr>
        <w:t xml:space="preserve">Hal ini bertentangan dengan teori keadilan restoratif. Teori keadilan restoratif mendorong penyelesaian perkara tindak pidana bukan kepada upaya menyakiti atau memberi penderitaan terhadap pelaku, namun berusaha memberi beban pada pelaku untuk bertanggung jawab sebesar kerugian yang ditimbulkan kepada korban dan masyarakat. Teori keadilan restoratif dinilai juga dapat menjadi dasar filosofis penerapan pidana penjara sebagai </w:t>
      </w:r>
      <w:r w:rsidRPr="006046D5">
        <w:rPr>
          <w:rFonts w:ascii="Times New Roman" w:hAnsi="Times New Roman" w:cs="Times New Roman"/>
          <w:i/>
          <w:sz w:val="24"/>
          <w:szCs w:val="24"/>
        </w:rPr>
        <w:t xml:space="preserve">ultimum remedium, </w:t>
      </w:r>
      <w:r w:rsidRPr="006046D5">
        <w:rPr>
          <w:rFonts w:ascii="Times New Roman" w:hAnsi="Times New Roman" w:cs="Times New Roman"/>
          <w:sz w:val="24"/>
          <w:szCs w:val="24"/>
        </w:rPr>
        <w:t>sehingga teori keadilan restoratif lebih menekankan kepada sanksi pidana yang bersifat moneter seperti pidana denda maupun pidana ganti rugi</w:t>
      </w:r>
      <w:r w:rsidR="00AD09C7">
        <w:rPr>
          <w:rFonts w:ascii="Times New Roman" w:hAnsi="Times New Roman" w:cs="Times New Roman"/>
          <w:sz w:val="24"/>
          <w:szCs w:val="24"/>
        </w:rPr>
        <w:t>.</w:t>
      </w:r>
      <w:r w:rsidR="00856C6F">
        <w:rPr>
          <w:rStyle w:val="FootnoteReference"/>
          <w:rFonts w:ascii="Times New Roman" w:hAnsi="Times New Roman" w:cs="Times New Roman"/>
          <w:sz w:val="24"/>
          <w:szCs w:val="24"/>
        </w:rPr>
        <w:footnoteReference w:id="16"/>
      </w:r>
      <w:r w:rsidR="00856C6F" w:rsidRPr="006046D5">
        <w:rPr>
          <w:rFonts w:ascii="Times New Roman" w:hAnsi="Times New Roman" w:cs="Times New Roman"/>
          <w:sz w:val="24"/>
          <w:szCs w:val="24"/>
        </w:rPr>
        <w:t xml:space="preserve"> </w:t>
      </w:r>
      <w:r w:rsidRPr="006046D5">
        <w:rPr>
          <w:rFonts w:ascii="Times New Roman" w:hAnsi="Times New Roman" w:cs="Times New Roman"/>
          <w:sz w:val="24"/>
          <w:szCs w:val="24"/>
        </w:rPr>
        <w:t xml:space="preserve">Hal serupa juga diungkap dalam buku dan disertasi supanto yang mengajukan “kebijakan </w:t>
      </w:r>
      <w:r w:rsidRPr="006046D5">
        <w:rPr>
          <w:rFonts w:ascii="Times New Roman" w:hAnsi="Times New Roman" w:cs="Times New Roman"/>
          <w:sz w:val="24"/>
          <w:szCs w:val="24"/>
        </w:rPr>
        <w:lastRenderedPageBreak/>
        <w:t xml:space="preserve">formulasi hukum pidana ekonomi” yang memuat adanya kesamaan pandangan yaitu “sanksi pidana penjara sebagai sanksi subsider dan </w:t>
      </w:r>
      <w:r w:rsidRPr="006046D5">
        <w:rPr>
          <w:rFonts w:ascii="Times New Roman" w:hAnsi="Times New Roman" w:cs="Times New Roman"/>
          <w:i/>
          <w:sz w:val="24"/>
          <w:szCs w:val="24"/>
        </w:rPr>
        <w:t>ultimum remedium</w:t>
      </w:r>
      <w:r w:rsidRPr="006046D5">
        <w:rPr>
          <w:rFonts w:ascii="Times New Roman" w:hAnsi="Times New Roman" w:cs="Times New Roman"/>
          <w:sz w:val="24"/>
          <w:szCs w:val="24"/>
        </w:rPr>
        <w:t>.</w:t>
      </w:r>
      <w:r w:rsidR="002A550A">
        <w:rPr>
          <w:rStyle w:val="FootnoteReference"/>
          <w:rFonts w:ascii="Times New Roman" w:hAnsi="Times New Roman" w:cs="Times New Roman"/>
          <w:sz w:val="24"/>
          <w:szCs w:val="24"/>
        </w:rPr>
        <w:footnoteReference w:id="17"/>
      </w:r>
    </w:p>
    <w:p w14:paraId="3278D3FB" w14:textId="309F8530" w:rsidR="006046D5" w:rsidRPr="006046D5" w:rsidRDefault="006046D5" w:rsidP="00951355">
      <w:pPr>
        <w:spacing w:after="0" w:line="276" w:lineRule="auto"/>
        <w:ind w:firstLine="720"/>
        <w:jc w:val="both"/>
        <w:rPr>
          <w:rFonts w:ascii="Times New Roman" w:hAnsi="Times New Roman" w:cs="Times New Roman"/>
          <w:sz w:val="24"/>
          <w:szCs w:val="24"/>
        </w:rPr>
      </w:pPr>
      <w:r w:rsidRPr="006046D5">
        <w:rPr>
          <w:rFonts w:ascii="Times New Roman" w:hAnsi="Times New Roman" w:cs="Times New Roman"/>
          <w:sz w:val="24"/>
          <w:szCs w:val="24"/>
        </w:rPr>
        <w:t>Hukum pidana harus diarahkan sebagai upaya se efektif dan se efisien mungkin untuk menge</w:t>
      </w:r>
      <w:r w:rsidR="00DA63F6">
        <w:rPr>
          <w:rFonts w:ascii="Times New Roman" w:hAnsi="Times New Roman" w:cs="Times New Roman"/>
          <w:sz w:val="24"/>
          <w:szCs w:val="24"/>
        </w:rPr>
        <w:t>mbalikan keadaan, sehingga ada 2</w:t>
      </w:r>
      <w:r w:rsidRPr="006046D5">
        <w:rPr>
          <w:rFonts w:ascii="Times New Roman" w:hAnsi="Times New Roman" w:cs="Times New Roman"/>
          <w:sz w:val="24"/>
          <w:szCs w:val="24"/>
        </w:rPr>
        <w:t xml:space="preserve"> hal penting yang diperlukan disini, yaitu: </w:t>
      </w:r>
      <w:r w:rsidRPr="006046D5">
        <w:rPr>
          <w:rFonts w:ascii="Times New Roman" w:hAnsi="Times New Roman" w:cs="Times New Roman"/>
          <w:i/>
          <w:sz w:val="24"/>
          <w:szCs w:val="24"/>
        </w:rPr>
        <w:t xml:space="preserve">pertama, </w:t>
      </w:r>
      <w:r w:rsidRPr="006046D5">
        <w:rPr>
          <w:rFonts w:ascii="Times New Roman" w:hAnsi="Times New Roman" w:cs="Times New Roman"/>
          <w:sz w:val="24"/>
          <w:szCs w:val="24"/>
        </w:rPr>
        <w:t xml:space="preserve">kesetaraan pidana penjara dengan sanksi pidana lain bersifat ekonomi seperti denda; </w:t>
      </w:r>
      <w:r w:rsidRPr="006046D5">
        <w:rPr>
          <w:rFonts w:ascii="Times New Roman" w:hAnsi="Times New Roman" w:cs="Times New Roman"/>
          <w:i/>
          <w:sz w:val="24"/>
          <w:szCs w:val="24"/>
        </w:rPr>
        <w:t xml:space="preserve">kedua, </w:t>
      </w:r>
      <w:r w:rsidR="003537B0">
        <w:rPr>
          <w:rFonts w:ascii="Times New Roman" w:hAnsi="Times New Roman" w:cs="Times New Roman"/>
          <w:sz w:val="24"/>
          <w:szCs w:val="24"/>
        </w:rPr>
        <w:t>penerapan keadilan restoratif</w:t>
      </w:r>
      <w:r w:rsidRPr="006046D5">
        <w:rPr>
          <w:rFonts w:ascii="Times New Roman" w:hAnsi="Times New Roman" w:cs="Times New Roman"/>
          <w:sz w:val="24"/>
          <w:szCs w:val="24"/>
        </w:rPr>
        <w:t xml:space="preserve"> sebagai upaya pengembalian keadaan antara pelaku, korban, dan negara, sebagaimana diungkap oleh Marilyn armour dengan teori keadilan restorative yang melihat “kejahatan adalah hubungan yang rusak antara tiga pemain: pelaku, korban dan komunitas”</w:t>
      </w:r>
      <w:r w:rsidR="004D7491">
        <w:rPr>
          <w:rFonts w:ascii="Times New Roman" w:hAnsi="Times New Roman" w:cs="Times New Roman"/>
          <w:sz w:val="24"/>
          <w:szCs w:val="24"/>
        </w:rPr>
        <w:t>.</w:t>
      </w:r>
      <w:r w:rsidR="0034701A">
        <w:rPr>
          <w:rStyle w:val="FootnoteReference"/>
          <w:rFonts w:ascii="Times New Roman" w:hAnsi="Times New Roman" w:cs="Times New Roman"/>
          <w:sz w:val="24"/>
          <w:szCs w:val="24"/>
        </w:rPr>
        <w:footnoteReference w:id="18"/>
      </w:r>
      <w:r w:rsidR="0034701A" w:rsidRPr="006046D5">
        <w:rPr>
          <w:rFonts w:ascii="Times New Roman" w:hAnsi="Times New Roman" w:cs="Times New Roman"/>
          <w:sz w:val="24"/>
          <w:szCs w:val="24"/>
        </w:rPr>
        <w:t xml:space="preserve"> </w:t>
      </w:r>
      <w:r w:rsidRPr="006046D5">
        <w:rPr>
          <w:rFonts w:ascii="Times New Roman" w:hAnsi="Times New Roman" w:cs="Times New Roman"/>
          <w:sz w:val="24"/>
          <w:szCs w:val="24"/>
        </w:rPr>
        <w:t xml:space="preserve">Perubahan konsep pemidanaan ini </w:t>
      </w:r>
      <w:r w:rsidR="009D236D" w:rsidRPr="006046D5">
        <w:rPr>
          <w:rFonts w:ascii="Times New Roman" w:hAnsi="Times New Roman" w:cs="Times New Roman"/>
          <w:sz w:val="24"/>
          <w:szCs w:val="24"/>
        </w:rPr>
        <w:t xml:space="preserve">diperlukan </w:t>
      </w:r>
      <w:r w:rsidRPr="006046D5">
        <w:rPr>
          <w:rFonts w:ascii="Times New Roman" w:hAnsi="Times New Roman" w:cs="Times New Roman"/>
          <w:sz w:val="24"/>
          <w:szCs w:val="24"/>
        </w:rPr>
        <w:t>diantaranya karena akibat yang ditimbulkan oleh pidana penjara lebih besar efek negatifnya dan tidak membuktikan keberhasilannya dalam menekan angka kejahatan.</w:t>
      </w:r>
      <w:r w:rsidR="00533137">
        <w:rPr>
          <w:rStyle w:val="FootnoteReference"/>
          <w:rFonts w:ascii="Times New Roman" w:hAnsi="Times New Roman" w:cs="Times New Roman"/>
          <w:sz w:val="24"/>
          <w:szCs w:val="24"/>
        </w:rPr>
        <w:footnoteReference w:id="19"/>
      </w:r>
    </w:p>
    <w:p w14:paraId="606923B7" w14:textId="77777777" w:rsidR="00711C03" w:rsidRDefault="005F08E0" w:rsidP="007E779A">
      <w:pPr>
        <w:spacing w:after="0" w:line="276" w:lineRule="auto"/>
        <w:jc w:val="both"/>
        <w:rPr>
          <w:rFonts w:ascii="Times New Roman" w:hAnsi="Times New Roman" w:cs="Times New Roman"/>
          <w:b/>
          <w:i/>
          <w:sz w:val="24"/>
          <w:szCs w:val="24"/>
        </w:rPr>
      </w:pPr>
      <w:r>
        <w:rPr>
          <w:rFonts w:ascii="Times New Roman" w:hAnsi="Times New Roman" w:cs="Times New Roman"/>
          <w:b/>
          <w:sz w:val="24"/>
          <w:szCs w:val="24"/>
        </w:rPr>
        <w:t xml:space="preserve">3.2 </w:t>
      </w:r>
      <w:r w:rsidR="008A7CEB" w:rsidRPr="008A7CEB">
        <w:rPr>
          <w:rFonts w:ascii="Times New Roman" w:hAnsi="Times New Roman" w:cs="Times New Roman"/>
          <w:b/>
          <w:sz w:val="24"/>
          <w:szCs w:val="24"/>
        </w:rPr>
        <w:t xml:space="preserve">Pertanggungjawaban Pidana Terhadap </w:t>
      </w:r>
      <w:r w:rsidR="00182A22" w:rsidRPr="008A7CEB">
        <w:rPr>
          <w:rFonts w:ascii="Times New Roman" w:hAnsi="Times New Roman" w:cs="Times New Roman"/>
          <w:b/>
          <w:sz w:val="24"/>
          <w:szCs w:val="24"/>
        </w:rPr>
        <w:t xml:space="preserve">Pelaku </w:t>
      </w:r>
      <w:r w:rsidR="008A7CEB" w:rsidRPr="008A7CEB">
        <w:rPr>
          <w:rFonts w:ascii="Times New Roman" w:hAnsi="Times New Roman" w:cs="Times New Roman"/>
          <w:b/>
          <w:i/>
          <w:sz w:val="24"/>
          <w:szCs w:val="24"/>
        </w:rPr>
        <w:t>Cyber Crime</w:t>
      </w:r>
      <w:r w:rsidR="008A7CEB" w:rsidRPr="008A7CEB">
        <w:rPr>
          <w:rFonts w:ascii="Times New Roman" w:hAnsi="Times New Roman" w:cs="Times New Roman"/>
          <w:b/>
          <w:sz w:val="24"/>
          <w:szCs w:val="24"/>
        </w:rPr>
        <w:t xml:space="preserve"> </w:t>
      </w:r>
      <w:r w:rsidR="00182A22" w:rsidRPr="008A7CEB">
        <w:rPr>
          <w:rFonts w:ascii="Times New Roman" w:hAnsi="Times New Roman" w:cs="Times New Roman"/>
          <w:b/>
          <w:sz w:val="24"/>
          <w:szCs w:val="24"/>
        </w:rPr>
        <w:t xml:space="preserve">Dalam </w:t>
      </w:r>
      <w:r w:rsidR="008A7CEB" w:rsidRPr="008A7CEB">
        <w:rPr>
          <w:rFonts w:ascii="Times New Roman" w:hAnsi="Times New Roman" w:cs="Times New Roman"/>
          <w:b/>
          <w:sz w:val="24"/>
          <w:szCs w:val="24"/>
        </w:rPr>
        <w:t xml:space="preserve">Bentuk </w:t>
      </w:r>
      <w:r w:rsidR="008A7CEB" w:rsidRPr="008A7CEB">
        <w:rPr>
          <w:rFonts w:ascii="Times New Roman" w:hAnsi="Times New Roman" w:cs="Times New Roman"/>
          <w:b/>
          <w:i/>
          <w:sz w:val="24"/>
          <w:szCs w:val="24"/>
        </w:rPr>
        <w:t>Phising</w:t>
      </w:r>
    </w:p>
    <w:p w14:paraId="3C8C1406" w14:textId="3290018F" w:rsidR="008A7CEB" w:rsidRPr="008A7CEB" w:rsidRDefault="00EB2647" w:rsidP="007E779A">
      <w:pPr>
        <w:spacing w:after="0" w:line="276" w:lineRule="auto"/>
        <w:ind w:firstLine="720"/>
        <w:jc w:val="both"/>
        <w:rPr>
          <w:rFonts w:ascii="Times New Roman" w:hAnsi="Times New Roman" w:cs="Times New Roman"/>
          <w:sz w:val="24"/>
          <w:szCs w:val="24"/>
        </w:rPr>
      </w:pPr>
      <w:r w:rsidRPr="00EB2647">
        <w:rPr>
          <w:rFonts w:ascii="Times New Roman" w:hAnsi="Times New Roman" w:cs="Times New Roman"/>
          <w:sz w:val="24"/>
          <w:szCs w:val="24"/>
        </w:rPr>
        <w:t>Kejahatan yang terjadi di dunia maya lahir akibat dampak negatif dari perkembangan teknologi, kejahatan yang terjadi dari berbagai bentuk dan j</w:t>
      </w:r>
      <w:r>
        <w:rPr>
          <w:rFonts w:ascii="Times New Roman" w:hAnsi="Times New Roman" w:cs="Times New Roman"/>
          <w:sz w:val="24"/>
          <w:szCs w:val="24"/>
        </w:rPr>
        <w:t>enisnya tersebut membawa konseku</w:t>
      </w:r>
      <w:r w:rsidRPr="00EB2647">
        <w:rPr>
          <w:rFonts w:ascii="Times New Roman" w:hAnsi="Times New Roman" w:cs="Times New Roman"/>
          <w:sz w:val="24"/>
          <w:szCs w:val="24"/>
        </w:rPr>
        <w:t xml:space="preserve">ensi terhadap perlindungan hukum penggunanya hal ini penting mengingat bahwa setiap manusia harus dilindungi sesuai dengan harkat </w:t>
      </w:r>
      <w:r>
        <w:rPr>
          <w:rFonts w:ascii="Times New Roman" w:hAnsi="Times New Roman" w:cs="Times New Roman"/>
          <w:sz w:val="24"/>
          <w:szCs w:val="24"/>
        </w:rPr>
        <w:t>dan martabatnya sebagai manusia</w:t>
      </w:r>
      <w:r w:rsidR="008A7CEB" w:rsidRPr="008A7CEB">
        <w:rPr>
          <w:rFonts w:ascii="Times New Roman" w:hAnsi="Times New Roman" w:cs="Times New Roman"/>
          <w:sz w:val="24"/>
          <w:szCs w:val="24"/>
        </w:rPr>
        <w:t>.</w:t>
      </w:r>
      <w:r w:rsidR="00E35748">
        <w:rPr>
          <w:rStyle w:val="FootnoteReference"/>
          <w:rFonts w:ascii="Times New Roman" w:hAnsi="Times New Roman" w:cs="Times New Roman"/>
          <w:sz w:val="24"/>
          <w:szCs w:val="24"/>
        </w:rPr>
        <w:footnoteReference w:id="20"/>
      </w:r>
      <w:r w:rsidR="00E35748" w:rsidRPr="008A7CEB">
        <w:rPr>
          <w:rFonts w:ascii="Times New Roman" w:hAnsi="Times New Roman" w:cs="Times New Roman"/>
          <w:sz w:val="24"/>
          <w:szCs w:val="24"/>
        </w:rPr>
        <w:t xml:space="preserve"> </w:t>
      </w:r>
      <w:r w:rsidR="008A7CEB" w:rsidRPr="008A7CEB">
        <w:rPr>
          <w:rFonts w:ascii="Times New Roman" w:hAnsi="Times New Roman" w:cs="Times New Roman"/>
          <w:sz w:val="24"/>
          <w:szCs w:val="24"/>
        </w:rPr>
        <w:t>Aturan umum KUHP juga tidak mengenal jenis ‘pidana ganti rugi’. Pidana bersyarat yang memuat ganti rugi dalam pasal 14c KUHP tentang pidana bersyarat pada dasarnya tidak bersifat pidana dan hanya sekedar pengganti untuk menghindari atau tidak menjalani pidana.</w:t>
      </w:r>
      <w:r w:rsidR="00E22B35">
        <w:rPr>
          <w:rStyle w:val="FootnoteReference"/>
          <w:rFonts w:ascii="Times New Roman" w:hAnsi="Times New Roman" w:cs="Times New Roman"/>
          <w:sz w:val="24"/>
          <w:szCs w:val="24"/>
        </w:rPr>
        <w:footnoteReference w:id="21"/>
      </w:r>
      <w:r w:rsidR="00E22B35" w:rsidRPr="008A7CEB">
        <w:rPr>
          <w:rFonts w:ascii="Times New Roman" w:hAnsi="Times New Roman" w:cs="Times New Roman"/>
          <w:sz w:val="24"/>
          <w:szCs w:val="24"/>
        </w:rPr>
        <w:t xml:space="preserve"> </w:t>
      </w:r>
      <w:r w:rsidR="008A7CEB" w:rsidRPr="008A7CEB">
        <w:rPr>
          <w:rFonts w:ascii="Times New Roman" w:hAnsi="Times New Roman" w:cs="Times New Roman"/>
          <w:sz w:val="24"/>
          <w:szCs w:val="24"/>
        </w:rPr>
        <w:t>Ganti rugi dalam KUHP pasal 14c tentang pidana bersyarat hanya sebagai syarat khusus bagi terpidana untuk tidak menjalani pidana pokok, yaitu jika hakim tidak menjatuhkan putusan pemidanaan terhadap pelaku. Ditetapkannya syarat khusus berupa ganti rugi hanya bisa diberikan hakim berdasarkan putusannya berupa pidana penjara paling lama 1 tahun atau pidana kurungan dan juga syarat khusus ini hanya bersifat fakultatif.</w:t>
      </w:r>
    </w:p>
    <w:p w14:paraId="64E8FD46" w14:textId="77777777" w:rsidR="008A7CEB" w:rsidRPr="008A7CEB" w:rsidRDefault="008A7CEB" w:rsidP="00CB73B3">
      <w:pPr>
        <w:spacing w:line="276" w:lineRule="auto"/>
        <w:ind w:firstLine="720"/>
        <w:jc w:val="both"/>
        <w:rPr>
          <w:rFonts w:ascii="Times New Roman" w:hAnsi="Times New Roman" w:cs="Times New Roman"/>
          <w:sz w:val="24"/>
          <w:szCs w:val="24"/>
        </w:rPr>
      </w:pPr>
      <w:r w:rsidRPr="008A7CEB">
        <w:rPr>
          <w:rFonts w:ascii="Times New Roman" w:hAnsi="Times New Roman" w:cs="Times New Roman"/>
          <w:sz w:val="24"/>
          <w:szCs w:val="24"/>
        </w:rPr>
        <w:t xml:space="preserve">Korban yang dirugikan oleh tindak pidana </w:t>
      </w:r>
      <w:r w:rsidRPr="008A7CEB">
        <w:rPr>
          <w:rFonts w:ascii="Times New Roman" w:hAnsi="Times New Roman" w:cs="Times New Roman"/>
          <w:i/>
          <w:sz w:val="24"/>
          <w:szCs w:val="24"/>
        </w:rPr>
        <w:t>phishing</w:t>
      </w:r>
      <w:r w:rsidRPr="008A7CEB">
        <w:rPr>
          <w:rFonts w:ascii="Times New Roman" w:hAnsi="Times New Roman" w:cs="Times New Roman"/>
          <w:sz w:val="24"/>
          <w:szCs w:val="24"/>
        </w:rPr>
        <w:t xml:space="preserve"> dapat menuntut ganti rugi. Aturan ganti rugi untuk korban tindak pidana dapat dilakukan melalui cara, yaitu: </w:t>
      </w:r>
    </w:p>
    <w:p w14:paraId="59495120" w14:textId="77777777" w:rsidR="008A7CEB" w:rsidRPr="008A7CEB" w:rsidRDefault="008A7CEB" w:rsidP="00CB73B3">
      <w:pPr>
        <w:spacing w:line="276" w:lineRule="auto"/>
        <w:jc w:val="both"/>
        <w:rPr>
          <w:rFonts w:ascii="Times New Roman" w:hAnsi="Times New Roman" w:cs="Times New Roman"/>
          <w:sz w:val="24"/>
          <w:szCs w:val="24"/>
        </w:rPr>
      </w:pPr>
      <w:r w:rsidRPr="008A7CEB">
        <w:rPr>
          <w:rFonts w:ascii="Times New Roman" w:hAnsi="Times New Roman" w:cs="Times New Roman"/>
          <w:i/>
          <w:sz w:val="24"/>
          <w:szCs w:val="24"/>
        </w:rPr>
        <w:t xml:space="preserve">Pertama, </w:t>
      </w:r>
      <w:r w:rsidRPr="008A7CEB">
        <w:rPr>
          <w:rFonts w:ascii="Times New Roman" w:hAnsi="Times New Roman" w:cs="Times New Roman"/>
          <w:sz w:val="24"/>
          <w:szCs w:val="24"/>
        </w:rPr>
        <w:t xml:space="preserve">melalui penggabungan perkara ganti kerugian; </w:t>
      </w:r>
    </w:p>
    <w:p w14:paraId="6CBA2BA3" w14:textId="77777777" w:rsidR="008A7CEB" w:rsidRPr="008A7CEB" w:rsidRDefault="008A7CEB" w:rsidP="00CB73B3">
      <w:pPr>
        <w:spacing w:line="276" w:lineRule="auto"/>
        <w:jc w:val="both"/>
        <w:rPr>
          <w:rFonts w:ascii="Times New Roman" w:hAnsi="Times New Roman" w:cs="Times New Roman"/>
          <w:sz w:val="24"/>
          <w:szCs w:val="24"/>
        </w:rPr>
      </w:pPr>
      <w:r w:rsidRPr="008A7CEB">
        <w:rPr>
          <w:rFonts w:ascii="Times New Roman" w:hAnsi="Times New Roman" w:cs="Times New Roman"/>
          <w:i/>
          <w:sz w:val="24"/>
          <w:szCs w:val="24"/>
        </w:rPr>
        <w:t xml:space="preserve">Kedua, </w:t>
      </w:r>
      <w:r w:rsidRPr="008A7CEB">
        <w:rPr>
          <w:rFonts w:ascii="Times New Roman" w:hAnsi="Times New Roman" w:cs="Times New Roman"/>
          <w:sz w:val="24"/>
          <w:szCs w:val="24"/>
        </w:rPr>
        <w:t xml:space="preserve"> melalui gugatan perbuatan melawan hukum; dan </w:t>
      </w:r>
    </w:p>
    <w:p w14:paraId="3D290573" w14:textId="77777777" w:rsidR="008A7CEB" w:rsidRPr="008A7CEB" w:rsidRDefault="008A7CEB" w:rsidP="0044083A">
      <w:pPr>
        <w:spacing w:after="0" w:line="276" w:lineRule="auto"/>
        <w:jc w:val="both"/>
        <w:rPr>
          <w:rFonts w:ascii="Times New Roman" w:hAnsi="Times New Roman" w:cs="Times New Roman"/>
          <w:sz w:val="24"/>
          <w:szCs w:val="24"/>
        </w:rPr>
      </w:pPr>
      <w:r w:rsidRPr="008A7CEB">
        <w:rPr>
          <w:rFonts w:ascii="Times New Roman" w:hAnsi="Times New Roman" w:cs="Times New Roman"/>
          <w:i/>
          <w:sz w:val="24"/>
          <w:szCs w:val="24"/>
        </w:rPr>
        <w:t>Ketiga,</w:t>
      </w:r>
      <w:r w:rsidRPr="008A7CEB">
        <w:rPr>
          <w:rFonts w:ascii="Times New Roman" w:hAnsi="Times New Roman" w:cs="Times New Roman"/>
          <w:sz w:val="24"/>
          <w:szCs w:val="24"/>
        </w:rPr>
        <w:t xml:space="preserve">  melalui permohonan restitusi. </w:t>
      </w:r>
    </w:p>
    <w:p w14:paraId="69C2E2B8" w14:textId="059DC4B9" w:rsidR="008A7CEB" w:rsidRPr="008A7CEB" w:rsidRDefault="008A7CEB" w:rsidP="0044083A">
      <w:pPr>
        <w:spacing w:after="0" w:line="276" w:lineRule="auto"/>
        <w:ind w:firstLine="720"/>
        <w:jc w:val="both"/>
        <w:rPr>
          <w:rFonts w:ascii="Times New Roman" w:hAnsi="Times New Roman" w:cs="Times New Roman"/>
          <w:sz w:val="24"/>
          <w:szCs w:val="24"/>
        </w:rPr>
      </w:pPr>
      <w:r w:rsidRPr="008A7CEB">
        <w:rPr>
          <w:rFonts w:ascii="Times New Roman" w:hAnsi="Times New Roman" w:cs="Times New Roman"/>
          <w:sz w:val="24"/>
          <w:szCs w:val="24"/>
        </w:rPr>
        <w:t xml:space="preserve">Penggabungan perkara </w:t>
      </w:r>
      <w:r w:rsidR="0003226A" w:rsidRPr="008A7CEB">
        <w:rPr>
          <w:rFonts w:ascii="Times New Roman" w:hAnsi="Times New Roman" w:cs="Times New Roman"/>
          <w:sz w:val="24"/>
          <w:szCs w:val="24"/>
        </w:rPr>
        <w:t xml:space="preserve">ganti rugi </w:t>
      </w:r>
      <w:r w:rsidRPr="008A7CEB">
        <w:rPr>
          <w:rFonts w:ascii="Times New Roman" w:hAnsi="Times New Roman" w:cs="Times New Roman"/>
          <w:sz w:val="24"/>
          <w:szCs w:val="24"/>
        </w:rPr>
        <w:t>diatur dalam Pasal 98 ayat (1) KUHAP menjelaskan bahwa, “ jika suatu perbuatan yang menjadi dasar dakwaan di dalam suatu pemeriksaan per</w:t>
      </w:r>
      <w:r w:rsidR="00AF3D4A">
        <w:rPr>
          <w:rFonts w:ascii="Times New Roman" w:hAnsi="Times New Roman" w:cs="Times New Roman"/>
          <w:sz w:val="24"/>
          <w:szCs w:val="24"/>
        </w:rPr>
        <w:t>kara pidana oleh pengadilan neger</w:t>
      </w:r>
      <w:r w:rsidRPr="008A7CEB">
        <w:rPr>
          <w:rFonts w:ascii="Times New Roman" w:hAnsi="Times New Roman" w:cs="Times New Roman"/>
          <w:sz w:val="24"/>
          <w:szCs w:val="24"/>
        </w:rPr>
        <w:t xml:space="preserve">i menimbulkan kerugian bagi orang lain, </w:t>
      </w:r>
      <w:r w:rsidRPr="008A7CEB">
        <w:rPr>
          <w:rFonts w:ascii="Times New Roman" w:hAnsi="Times New Roman" w:cs="Times New Roman"/>
          <w:sz w:val="24"/>
          <w:szCs w:val="24"/>
        </w:rPr>
        <w:lastRenderedPageBreak/>
        <w:t>maka hakim ketua sidang atas permintaan orang itu dapat menetapkan untuk menggabungkan perkara gugatan ganti kerugian kepada perkara pidana itu.” Perm</w:t>
      </w:r>
      <w:r w:rsidR="00883918">
        <w:rPr>
          <w:rFonts w:ascii="Times New Roman" w:hAnsi="Times New Roman" w:cs="Times New Roman"/>
          <w:sz w:val="24"/>
          <w:szCs w:val="24"/>
        </w:rPr>
        <w:t>o</w:t>
      </w:r>
      <w:r w:rsidRPr="008A7CEB">
        <w:rPr>
          <w:rFonts w:ascii="Times New Roman" w:hAnsi="Times New Roman" w:cs="Times New Roman"/>
          <w:sz w:val="24"/>
          <w:szCs w:val="24"/>
        </w:rPr>
        <w:t>honan penggabungan ganti kerugian berdasarkan Pasal 98 ayat (2) KUHAP diajukan selambat-lambatnya sebelum penuntut umum mengajukan tuntutan pidana. Pada saat korban tindak pidana meminta penggabungan perkara ganti kerugian maka Pengadilan wajib menimbang tentang kewenangannya untuk mengadili gugatan tersebut, tentang kebenaran dasar gugatan dan tentang hukuman penggantian biaya yang telah dikeluarkan oleh korban.</w:t>
      </w:r>
    </w:p>
    <w:p w14:paraId="748093CB" w14:textId="77777777" w:rsidR="008A7CEB" w:rsidRPr="008A7CEB" w:rsidRDefault="008A7CEB" w:rsidP="00FC0571">
      <w:pPr>
        <w:spacing w:after="0" w:line="276" w:lineRule="auto"/>
        <w:ind w:firstLine="720"/>
        <w:jc w:val="both"/>
        <w:rPr>
          <w:rFonts w:ascii="Times New Roman" w:hAnsi="Times New Roman" w:cs="Times New Roman"/>
          <w:sz w:val="24"/>
          <w:szCs w:val="24"/>
        </w:rPr>
      </w:pPr>
      <w:r w:rsidRPr="008A7CEB">
        <w:rPr>
          <w:rFonts w:ascii="Times New Roman" w:hAnsi="Times New Roman" w:cs="Times New Roman"/>
          <w:sz w:val="24"/>
          <w:szCs w:val="24"/>
        </w:rPr>
        <w:t xml:space="preserve">KUHAP ini mengandung beberapa kelemahan bersifat fakultatif dan bergantung pada permohonan korban untuk mengajukan permohonan penggabungan ganti kerugian. Padahal tidak semua korban kejahatan mengetahui hak-hak korban untuk mengajukan permohonan tersebut selambat-lambatnya sebelum penuntut umum mengajukan tuntutan pidana kepada si terdakwa, selain itu juga sikap aparat penegak hukum yaitu jaksa dan juga hakim yang sering kali apatis dan tidak menginformasikan korban karena tidak diwajibkan. Kelemahan KUHAP yang lainnya yaitu tidak bisa mengajukan gugatan ganti kerugian secara imateril. Kerugian materiil pun hanya terbatas yaitu ganti rugi hanya diberikan kepada korban yang mengalami kerugian secara langsung. </w:t>
      </w:r>
    </w:p>
    <w:p w14:paraId="03B2C29E" w14:textId="09355711" w:rsidR="008A7CEB" w:rsidRPr="008A7CEB" w:rsidRDefault="008A7CEB" w:rsidP="00FC0571">
      <w:pPr>
        <w:spacing w:after="0" w:line="276" w:lineRule="auto"/>
        <w:ind w:firstLine="720"/>
        <w:jc w:val="both"/>
        <w:rPr>
          <w:rFonts w:ascii="Times New Roman" w:hAnsi="Times New Roman" w:cs="Times New Roman"/>
          <w:sz w:val="24"/>
          <w:szCs w:val="24"/>
        </w:rPr>
      </w:pPr>
      <w:r w:rsidRPr="008A7CEB">
        <w:rPr>
          <w:rFonts w:ascii="Times New Roman" w:hAnsi="Times New Roman" w:cs="Times New Roman"/>
          <w:sz w:val="24"/>
          <w:szCs w:val="24"/>
        </w:rPr>
        <w:t>Penyelesaian perkara pidana di Indonesia tidak bisa hanya memandang pada nasib si pelaku, akan tetapi korban yang dalam hal ini menderita kerugian materiil maupun imateriil juga memerlukan perlindungan. Kedudukan korban dalam KUHP dan KUHAP belum optimal dikarenakan KUHP dan KUHAP belum secara tegas merumuskan ketentuan yang secara konkret atau langsung memberikan perlindungan hukum terhadap korban dan tidak merumuskan jenis pidana restitusi (ganti rugi) yang sebenarnya sangat bermanfaat bagi korban dan keluarga korban.</w:t>
      </w:r>
      <w:r w:rsidR="00A05A75">
        <w:rPr>
          <w:rStyle w:val="FootnoteReference"/>
          <w:rFonts w:ascii="Times New Roman" w:hAnsi="Times New Roman" w:cs="Times New Roman"/>
          <w:sz w:val="24"/>
          <w:szCs w:val="24"/>
        </w:rPr>
        <w:footnoteReference w:id="22"/>
      </w:r>
      <w:r w:rsidR="00A05A75" w:rsidRPr="008A7CEB">
        <w:rPr>
          <w:rFonts w:ascii="Times New Roman" w:hAnsi="Times New Roman" w:cs="Times New Roman"/>
          <w:sz w:val="24"/>
          <w:szCs w:val="24"/>
        </w:rPr>
        <w:t xml:space="preserve"> </w:t>
      </w:r>
      <w:r w:rsidRPr="008A7CEB">
        <w:rPr>
          <w:rFonts w:ascii="Times New Roman" w:hAnsi="Times New Roman" w:cs="Times New Roman"/>
          <w:sz w:val="24"/>
          <w:szCs w:val="24"/>
        </w:rPr>
        <w:t xml:space="preserve">Pengaturan tindak pidana terhadap pelaku </w:t>
      </w:r>
      <w:r w:rsidRPr="008A7CEB">
        <w:rPr>
          <w:rFonts w:ascii="Times New Roman" w:hAnsi="Times New Roman" w:cs="Times New Roman"/>
          <w:i/>
          <w:sz w:val="24"/>
          <w:szCs w:val="24"/>
        </w:rPr>
        <w:t>phising</w:t>
      </w:r>
      <w:r w:rsidRPr="008A7CEB">
        <w:rPr>
          <w:rFonts w:ascii="Times New Roman" w:hAnsi="Times New Roman" w:cs="Times New Roman"/>
          <w:sz w:val="24"/>
          <w:szCs w:val="24"/>
        </w:rPr>
        <w:t xml:space="preserve"> ini lebih condong kepada memberikan hukuman kepada si pelaku dengan pidana penjara dan juga pidana denda yaitu dengan pasal 45A ayat 1 UU ITE. Sedangkan ganti rugi terhadap korban tidak dicantumkan peraturannya secara konkret dan jelas. </w:t>
      </w:r>
    </w:p>
    <w:p w14:paraId="7BE0E237" w14:textId="649A8965" w:rsidR="008A7CEB" w:rsidRPr="008A7CEB" w:rsidRDefault="008A7CEB" w:rsidP="00511C5F">
      <w:pPr>
        <w:spacing w:after="0" w:line="276" w:lineRule="auto"/>
        <w:ind w:firstLine="720"/>
        <w:jc w:val="both"/>
        <w:rPr>
          <w:rFonts w:ascii="Times New Roman" w:hAnsi="Times New Roman" w:cs="Times New Roman"/>
          <w:sz w:val="24"/>
          <w:szCs w:val="24"/>
        </w:rPr>
      </w:pPr>
      <w:r w:rsidRPr="008A7CEB">
        <w:rPr>
          <w:rFonts w:ascii="Times New Roman" w:hAnsi="Times New Roman" w:cs="Times New Roman"/>
          <w:sz w:val="24"/>
          <w:szCs w:val="24"/>
        </w:rPr>
        <w:t xml:space="preserve">Hal ini sesuai dengan pendapat Barda Nawawi Arief. Barda </w:t>
      </w:r>
      <w:r w:rsidR="00E3797A" w:rsidRPr="008A7CEB">
        <w:rPr>
          <w:rFonts w:ascii="Times New Roman" w:hAnsi="Times New Roman" w:cs="Times New Roman"/>
          <w:sz w:val="24"/>
          <w:szCs w:val="24"/>
        </w:rPr>
        <w:t xml:space="preserve">Nawawi Arief </w:t>
      </w:r>
      <w:r w:rsidRPr="008A7CEB">
        <w:rPr>
          <w:rFonts w:ascii="Times New Roman" w:hAnsi="Times New Roman" w:cs="Times New Roman"/>
          <w:sz w:val="24"/>
          <w:szCs w:val="24"/>
        </w:rPr>
        <w:t xml:space="preserve">berpendapat bahwa hukum pidana positif saat ini lebih mengacu terhadap perlindungan korban </w:t>
      </w:r>
      <w:r w:rsidRPr="008A7CEB">
        <w:rPr>
          <w:rFonts w:ascii="Times New Roman" w:hAnsi="Times New Roman" w:cs="Times New Roman"/>
          <w:i/>
          <w:sz w:val="24"/>
          <w:szCs w:val="24"/>
        </w:rPr>
        <w:t>‘in abstrakto’</w:t>
      </w:r>
      <w:r w:rsidRPr="008A7CEB">
        <w:rPr>
          <w:rFonts w:ascii="Times New Roman" w:hAnsi="Times New Roman" w:cs="Times New Roman"/>
          <w:sz w:val="24"/>
          <w:szCs w:val="24"/>
        </w:rPr>
        <w:t xml:space="preserve"> dan secara tidak langsung. Hal ini dikarenakan tindak pidana positif tidak dilihat sebagai perbuatan menyerang/melanggar kepentingan hukum seseorang (korban) secara pribadi dan konkret, tetapi hanya dilihat sebagai pelanggaran norma/tertib hukum </w:t>
      </w:r>
      <w:r w:rsidRPr="008A7CEB">
        <w:rPr>
          <w:rFonts w:ascii="Times New Roman" w:hAnsi="Times New Roman" w:cs="Times New Roman"/>
          <w:i/>
          <w:sz w:val="24"/>
          <w:szCs w:val="24"/>
        </w:rPr>
        <w:t>ib abs trakto</w:t>
      </w:r>
      <w:r w:rsidRPr="008A7CEB">
        <w:rPr>
          <w:rFonts w:ascii="Times New Roman" w:hAnsi="Times New Roman" w:cs="Times New Roman"/>
          <w:sz w:val="24"/>
          <w:szCs w:val="24"/>
        </w:rPr>
        <w:t xml:space="preserve">. Oleh karena itu, bukan pertanggungjawaban terhadap kerugian/penderitaan korban secara langsung dan konkret, tetapi lebih tertuju kepada pertanggungjawaban pribadi. </w:t>
      </w:r>
    </w:p>
    <w:p w14:paraId="7D53485F" w14:textId="44F284BF" w:rsidR="008A7CEB" w:rsidRPr="008A7CEB" w:rsidRDefault="008A7CEB" w:rsidP="00511C5F">
      <w:pPr>
        <w:spacing w:after="0" w:line="276" w:lineRule="auto"/>
        <w:ind w:firstLine="720"/>
        <w:jc w:val="both"/>
        <w:rPr>
          <w:rFonts w:ascii="Times New Roman" w:hAnsi="Times New Roman" w:cs="Times New Roman"/>
          <w:sz w:val="24"/>
          <w:szCs w:val="24"/>
        </w:rPr>
      </w:pPr>
      <w:r w:rsidRPr="008A7CEB">
        <w:rPr>
          <w:rFonts w:ascii="Times New Roman" w:hAnsi="Times New Roman" w:cs="Times New Roman"/>
          <w:sz w:val="24"/>
          <w:szCs w:val="24"/>
        </w:rPr>
        <w:t xml:space="preserve">Berdasarkan hukuman mengenai pertanggungjawaban pidana terhadap pelaku penipuan online </w:t>
      </w:r>
      <w:r w:rsidRPr="008A7CEB">
        <w:rPr>
          <w:rFonts w:ascii="Times New Roman" w:hAnsi="Times New Roman" w:cs="Times New Roman"/>
          <w:i/>
          <w:sz w:val="24"/>
          <w:szCs w:val="24"/>
        </w:rPr>
        <w:t>phising</w:t>
      </w:r>
      <w:r w:rsidRPr="008A7CEB">
        <w:rPr>
          <w:rFonts w:ascii="Times New Roman" w:hAnsi="Times New Roman" w:cs="Times New Roman"/>
          <w:sz w:val="24"/>
          <w:szCs w:val="24"/>
        </w:rPr>
        <w:t xml:space="preserve"> ini memang hanya dikenakan pasal 35 ayat 1 jo. Pasal 51 ayat 1. Hal ini sesuai dengan teori retributif. Menurut teori retributif, hukuman diberikan karena pelaku kejahatan harus menerima hukuman tersebut sebagai akibat kesalahan pelaku. Hukuman menjadi retribusi yang adil bagi kerugian yang diakibatkan oleh perbuatannya. Dengan demikian, menurut teori ini hukuman layak diberikan kepada pelaku kejahatan atas pertimbangan bahwa pelaku kejahatan terbukti melakukan suatu kejahatan. Hukuman </w:t>
      </w:r>
      <w:r w:rsidRPr="008A7CEB">
        <w:rPr>
          <w:rFonts w:ascii="Times New Roman" w:hAnsi="Times New Roman" w:cs="Times New Roman"/>
          <w:sz w:val="24"/>
          <w:szCs w:val="24"/>
        </w:rPr>
        <w:lastRenderedPageBreak/>
        <w:t>mengekspresikan bahwa pelaku kejahatan memiliki tanggung jawab atas pasal hukum yang dilanggarnya.</w:t>
      </w:r>
      <w:r w:rsidR="0014246A">
        <w:rPr>
          <w:rStyle w:val="FootnoteReference"/>
          <w:rFonts w:ascii="Times New Roman" w:hAnsi="Times New Roman" w:cs="Times New Roman"/>
          <w:sz w:val="24"/>
          <w:szCs w:val="24"/>
        </w:rPr>
        <w:footnoteReference w:id="23"/>
      </w:r>
    </w:p>
    <w:p w14:paraId="7F0C5008" w14:textId="67AF5F4D" w:rsidR="008A7CEB" w:rsidRPr="008A7CEB" w:rsidRDefault="008A7CEB" w:rsidP="00B958B2">
      <w:pPr>
        <w:spacing w:after="0" w:line="276" w:lineRule="auto"/>
        <w:ind w:firstLine="720"/>
        <w:jc w:val="both"/>
        <w:rPr>
          <w:rFonts w:ascii="Times New Roman" w:hAnsi="Times New Roman" w:cs="Times New Roman"/>
          <w:sz w:val="24"/>
          <w:szCs w:val="24"/>
        </w:rPr>
      </w:pPr>
      <w:r w:rsidRPr="008A7CEB">
        <w:rPr>
          <w:rFonts w:ascii="Times New Roman" w:hAnsi="Times New Roman" w:cs="Times New Roman"/>
          <w:sz w:val="24"/>
          <w:szCs w:val="24"/>
        </w:rPr>
        <w:t xml:space="preserve">Berikut contoh kasus yang penulis jabarkan yaitu sebagai berikut : Salah satu contoh kasus mengenai aktivitas </w:t>
      </w:r>
      <w:r w:rsidRPr="008A7CEB">
        <w:rPr>
          <w:rFonts w:ascii="Times New Roman" w:hAnsi="Times New Roman" w:cs="Times New Roman"/>
          <w:i/>
          <w:sz w:val="24"/>
          <w:szCs w:val="24"/>
        </w:rPr>
        <w:t>phising</w:t>
      </w:r>
      <w:r w:rsidRPr="008A7CEB">
        <w:rPr>
          <w:rFonts w:ascii="Times New Roman" w:hAnsi="Times New Roman" w:cs="Times New Roman"/>
          <w:sz w:val="24"/>
          <w:szCs w:val="24"/>
        </w:rPr>
        <w:t xml:space="preserve"> di Indonesia yaitu kasus dengan nomor putusan 30/Pid.Sus/2019/PN.Skg, secara singkat terdakwa dengan nama Suparman dalam kasus ini diduga telah turut serta melakukan aktivitas </w:t>
      </w:r>
      <w:r w:rsidR="00D0642D" w:rsidRPr="00D0642D">
        <w:rPr>
          <w:rFonts w:ascii="Times New Roman" w:hAnsi="Times New Roman" w:cs="Times New Roman"/>
          <w:i/>
          <w:sz w:val="24"/>
          <w:szCs w:val="24"/>
        </w:rPr>
        <w:t>phising</w:t>
      </w:r>
      <w:r w:rsidRPr="008A7CEB">
        <w:rPr>
          <w:rFonts w:ascii="Times New Roman" w:hAnsi="Times New Roman" w:cs="Times New Roman"/>
          <w:sz w:val="24"/>
          <w:szCs w:val="24"/>
        </w:rPr>
        <w:t xml:space="preserve">, Suparman pada awalnya membuat alamat e-mail untuk diserahkan kepada rekannya yaitu Nursyam alias Ikhsan, Suparman disini meminta Ikhsan untuk dibuatkan sebuah situs yang sama ataupun serupa dengan situs internet banking milik Bank BRI. </w:t>
      </w:r>
    </w:p>
    <w:p w14:paraId="166735ED" w14:textId="24B25A9B" w:rsidR="008A7CEB" w:rsidRPr="008A7CEB" w:rsidRDefault="008A7CEB" w:rsidP="00B958B2">
      <w:pPr>
        <w:spacing w:after="0" w:line="276" w:lineRule="auto"/>
        <w:ind w:firstLine="720"/>
        <w:jc w:val="both"/>
        <w:rPr>
          <w:rFonts w:ascii="Times New Roman" w:hAnsi="Times New Roman" w:cs="Times New Roman"/>
          <w:sz w:val="24"/>
          <w:szCs w:val="24"/>
        </w:rPr>
      </w:pPr>
      <w:r w:rsidRPr="008A7CEB">
        <w:rPr>
          <w:rFonts w:ascii="Times New Roman" w:hAnsi="Times New Roman" w:cs="Times New Roman"/>
          <w:sz w:val="24"/>
          <w:szCs w:val="24"/>
        </w:rPr>
        <w:t xml:space="preserve">Situs tersebut setelah selesai dibuat, selanjutnya baik Suparman maupun Ikhsan langsung menyebarkan situs tersebut melalui SMS caster. Situs tersebut berisi muatan yang menuntun korban untuk mengisi data pribadi korban untuk mengajukan kredit atau pinjaman secara online. Korban yang dituju antara lain korban yang memiliki rekening BRI yang terdaftar dalam internet banking. Setelah korban selesai memasukkan data pribadi mulai dari username, password dan juga PIN rekening mereka, terdakwa langsung dapat mengakses rekening korban tersebut lalu mentransferkan isi rekening korban ke rekening milik terdakwa untuk dicairkan. Suparman dalam kasus ini dapat dikatakan sebagai aktivitas </w:t>
      </w:r>
      <w:r w:rsidRPr="008A7CEB">
        <w:rPr>
          <w:rFonts w:ascii="Times New Roman" w:hAnsi="Times New Roman" w:cs="Times New Roman"/>
          <w:i/>
          <w:sz w:val="24"/>
          <w:szCs w:val="24"/>
        </w:rPr>
        <w:t xml:space="preserve">phising </w:t>
      </w:r>
      <w:r w:rsidRPr="008A7CEB">
        <w:rPr>
          <w:rFonts w:ascii="Times New Roman" w:hAnsi="Times New Roman" w:cs="Times New Roman"/>
          <w:sz w:val="24"/>
          <w:szCs w:val="24"/>
        </w:rPr>
        <w:t xml:space="preserve">dikarenakan terdakwa dalam hal ini melakukan aktivitas yang memancing korban untuk memasukan data pribadi mereka dengan menggunakan situs palsu yang dengan sengaja dibuat oleh terdakwa. Dalam contoh kasus tersebut terdakwa dikenakan sanksi pidana dalam Pasal 35 Jo. Pasal 51 ayat (1) </w:t>
      </w:r>
      <w:r w:rsidR="00D0642D">
        <w:rPr>
          <w:rFonts w:ascii="Times New Roman" w:hAnsi="Times New Roman" w:cs="Times New Roman"/>
          <w:sz w:val="24"/>
          <w:szCs w:val="24"/>
        </w:rPr>
        <w:t>UU ITE</w:t>
      </w:r>
      <w:r w:rsidR="008D1934">
        <w:rPr>
          <w:rFonts w:ascii="Times New Roman" w:hAnsi="Times New Roman" w:cs="Times New Roman"/>
          <w:sz w:val="24"/>
          <w:szCs w:val="24"/>
        </w:rPr>
        <w:t>.</w:t>
      </w:r>
      <w:r w:rsidRPr="008A7CEB">
        <w:rPr>
          <w:rFonts w:ascii="Times New Roman" w:hAnsi="Times New Roman" w:cs="Times New Roman"/>
          <w:sz w:val="24"/>
          <w:szCs w:val="24"/>
        </w:rPr>
        <w:t xml:space="preserve"> </w:t>
      </w:r>
    </w:p>
    <w:p w14:paraId="108C71AF" w14:textId="77777777" w:rsidR="008A7CEB" w:rsidRPr="008A7CEB" w:rsidRDefault="008A7CEB" w:rsidP="00B1267B">
      <w:pPr>
        <w:spacing w:after="0" w:line="276" w:lineRule="auto"/>
        <w:ind w:firstLine="720"/>
        <w:jc w:val="both"/>
        <w:rPr>
          <w:rFonts w:ascii="Times New Roman" w:hAnsi="Times New Roman" w:cs="Times New Roman"/>
          <w:sz w:val="24"/>
          <w:szCs w:val="24"/>
        </w:rPr>
      </w:pPr>
      <w:r w:rsidRPr="008A7CEB">
        <w:rPr>
          <w:rFonts w:ascii="Times New Roman" w:hAnsi="Times New Roman" w:cs="Times New Roman"/>
          <w:sz w:val="24"/>
          <w:szCs w:val="24"/>
        </w:rPr>
        <w:t xml:space="preserve">Perlindungan terhadap korban hanya diartikan sebagai perlindungan secara tidak langsung dengan mencegah terjadinya kejahatan, yang seolah sudah tercapai bila pelaku nya telah dipidana. Perlindungan Korban menjadi limitatif dalam konsep ini, dan tidak memberikan wawasan bagi upaya pencarian </w:t>
      </w:r>
      <w:r w:rsidRPr="008A7CEB">
        <w:rPr>
          <w:rFonts w:ascii="Times New Roman" w:hAnsi="Times New Roman" w:cs="Times New Roman"/>
          <w:i/>
          <w:sz w:val="24"/>
          <w:szCs w:val="24"/>
        </w:rPr>
        <w:t xml:space="preserve">'acces to Justice and fair treatment to the victim' </w:t>
      </w:r>
      <w:r w:rsidRPr="008A7CEB">
        <w:rPr>
          <w:rFonts w:ascii="Times New Roman" w:hAnsi="Times New Roman" w:cs="Times New Roman"/>
          <w:sz w:val="24"/>
          <w:szCs w:val="24"/>
        </w:rPr>
        <w:t xml:space="preserve">maupun pemikiran terhadap </w:t>
      </w:r>
      <w:r w:rsidRPr="008A7CEB">
        <w:rPr>
          <w:rFonts w:ascii="Times New Roman" w:hAnsi="Times New Roman" w:cs="Times New Roman"/>
          <w:i/>
          <w:sz w:val="24"/>
          <w:szCs w:val="24"/>
        </w:rPr>
        <w:t>compensation, restitution, dan assistance</w:t>
      </w:r>
      <w:r w:rsidRPr="008A7CEB">
        <w:rPr>
          <w:rFonts w:ascii="Times New Roman" w:hAnsi="Times New Roman" w:cs="Times New Roman"/>
          <w:sz w:val="24"/>
          <w:szCs w:val="24"/>
        </w:rPr>
        <w:t xml:space="preserve">. Bentuk perlindungan korban secara langsung, yaitu hak korban untuk memperoleh </w:t>
      </w:r>
      <w:r w:rsidRPr="008A7CEB">
        <w:rPr>
          <w:rFonts w:ascii="Times New Roman" w:hAnsi="Times New Roman" w:cs="Times New Roman"/>
          <w:i/>
          <w:sz w:val="24"/>
          <w:szCs w:val="24"/>
        </w:rPr>
        <w:t>'acces to Justice and fair treatment, compensation, restitution, and assistance</w:t>
      </w:r>
      <w:r w:rsidRPr="008A7CEB">
        <w:rPr>
          <w:rFonts w:ascii="Times New Roman" w:hAnsi="Times New Roman" w:cs="Times New Roman"/>
          <w:sz w:val="24"/>
          <w:szCs w:val="24"/>
        </w:rPr>
        <w:t xml:space="preserve"> merupakan reaksi terhadap fokus perhatian hukum pidana yang menempatkan korban sebagai </w:t>
      </w:r>
      <w:r w:rsidRPr="008A7CEB">
        <w:rPr>
          <w:rFonts w:ascii="Times New Roman" w:hAnsi="Times New Roman" w:cs="Times New Roman"/>
          <w:i/>
          <w:sz w:val="24"/>
          <w:szCs w:val="24"/>
        </w:rPr>
        <w:t>'forgotten person'</w:t>
      </w:r>
      <w:r w:rsidRPr="008A7CEB">
        <w:rPr>
          <w:rFonts w:ascii="Times New Roman" w:hAnsi="Times New Roman" w:cs="Times New Roman"/>
          <w:sz w:val="24"/>
          <w:szCs w:val="24"/>
        </w:rPr>
        <w:t xml:space="preserve">. Oleh sebab itu, telah terjadinya kekaburan hukum mengenai pengaturan hukum terhadap </w:t>
      </w:r>
      <w:r w:rsidRPr="008A7CEB">
        <w:rPr>
          <w:rFonts w:ascii="Times New Roman" w:hAnsi="Times New Roman" w:cs="Times New Roman"/>
          <w:i/>
          <w:sz w:val="24"/>
          <w:szCs w:val="24"/>
        </w:rPr>
        <w:t>cyber crime</w:t>
      </w:r>
      <w:r w:rsidRPr="008A7CEB">
        <w:rPr>
          <w:rFonts w:ascii="Times New Roman" w:hAnsi="Times New Roman" w:cs="Times New Roman"/>
          <w:sz w:val="24"/>
          <w:szCs w:val="24"/>
        </w:rPr>
        <w:t xml:space="preserve"> dalam bentuk </w:t>
      </w:r>
      <w:r w:rsidRPr="008A7CEB">
        <w:rPr>
          <w:rFonts w:ascii="Times New Roman" w:hAnsi="Times New Roman" w:cs="Times New Roman"/>
          <w:i/>
          <w:sz w:val="24"/>
          <w:szCs w:val="24"/>
        </w:rPr>
        <w:t>phising</w:t>
      </w:r>
      <w:r w:rsidRPr="008A7CEB">
        <w:rPr>
          <w:rFonts w:ascii="Times New Roman" w:hAnsi="Times New Roman" w:cs="Times New Roman"/>
          <w:sz w:val="24"/>
          <w:szCs w:val="24"/>
        </w:rPr>
        <w:t xml:space="preserve"> karena tidak adanya pasal yang mencantumkan ganti kerugian terhadap korban.</w:t>
      </w:r>
    </w:p>
    <w:p w14:paraId="76F1FCF8" w14:textId="77777777" w:rsidR="008A7CEB" w:rsidRPr="005F08E0" w:rsidRDefault="005F08E0" w:rsidP="00B1267B">
      <w:pPr>
        <w:pStyle w:val="ListParagraph"/>
        <w:numPr>
          <w:ilvl w:val="0"/>
          <w:numId w:val="1"/>
        </w:numPr>
        <w:spacing w:after="0" w:line="276" w:lineRule="auto"/>
        <w:ind w:left="0" w:hanging="426"/>
        <w:jc w:val="both"/>
        <w:rPr>
          <w:rFonts w:ascii="Times New Roman" w:hAnsi="Times New Roman" w:cs="Times New Roman"/>
          <w:b/>
          <w:sz w:val="24"/>
          <w:szCs w:val="24"/>
        </w:rPr>
      </w:pPr>
      <w:commentRangeStart w:id="6"/>
      <w:r w:rsidRPr="005F08E0">
        <w:rPr>
          <w:rFonts w:ascii="Times New Roman" w:hAnsi="Times New Roman" w:cs="Times New Roman"/>
          <w:b/>
          <w:sz w:val="24"/>
          <w:szCs w:val="24"/>
        </w:rPr>
        <w:t>PENUTUP</w:t>
      </w:r>
      <w:commentRangeEnd w:id="6"/>
      <w:r w:rsidR="00CD5EA8">
        <w:rPr>
          <w:rStyle w:val="CommentReference"/>
        </w:rPr>
        <w:commentReference w:id="6"/>
      </w:r>
    </w:p>
    <w:p w14:paraId="7CDA9BE3" w14:textId="680553FA" w:rsidR="008A7CEB" w:rsidRPr="003C4B73" w:rsidRDefault="008A7CEB" w:rsidP="00B1267B">
      <w:pPr>
        <w:spacing w:after="0" w:line="276" w:lineRule="auto"/>
        <w:ind w:firstLine="720"/>
        <w:jc w:val="both"/>
        <w:rPr>
          <w:rFonts w:ascii="Times New Roman" w:hAnsi="Times New Roman" w:cs="Times New Roman"/>
          <w:sz w:val="24"/>
          <w:szCs w:val="24"/>
        </w:rPr>
      </w:pPr>
      <w:r w:rsidRPr="008A7CEB">
        <w:rPr>
          <w:rFonts w:ascii="Times New Roman" w:hAnsi="Times New Roman" w:cs="Times New Roman"/>
          <w:sz w:val="24"/>
          <w:szCs w:val="24"/>
        </w:rPr>
        <w:t xml:space="preserve">Pengaturan mengenai ganti rugi terhadap korban </w:t>
      </w:r>
      <w:r w:rsidRPr="008A7CEB">
        <w:rPr>
          <w:rFonts w:ascii="Times New Roman" w:hAnsi="Times New Roman" w:cs="Times New Roman"/>
          <w:i/>
          <w:sz w:val="24"/>
          <w:szCs w:val="24"/>
        </w:rPr>
        <w:t>phising</w:t>
      </w:r>
      <w:r w:rsidRPr="008A7CEB">
        <w:rPr>
          <w:rFonts w:ascii="Times New Roman" w:hAnsi="Times New Roman" w:cs="Times New Roman"/>
          <w:sz w:val="24"/>
          <w:szCs w:val="24"/>
        </w:rPr>
        <w:t xml:space="preserve"> tidak dicantumkan peraturannya secara konkret dan jelas dalam pasal 45A ayat (1) UU ITE. Isi dari pasal 45 ayat (1) UU ITE perlu dilakukannya perubahan terhadap Undang-Undang tentang ITE tersebut dengan merumuskan konsep </w:t>
      </w:r>
      <w:r w:rsidRPr="002E0C6F">
        <w:rPr>
          <w:rFonts w:ascii="Times New Roman" w:hAnsi="Times New Roman" w:cs="Times New Roman"/>
          <w:i/>
          <w:sz w:val="24"/>
          <w:szCs w:val="24"/>
        </w:rPr>
        <w:t>phising</w:t>
      </w:r>
      <w:r w:rsidRPr="008A7CEB">
        <w:rPr>
          <w:rFonts w:ascii="Times New Roman" w:hAnsi="Times New Roman" w:cs="Times New Roman"/>
          <w:sz w:val="24"/>
          <w:szCs w:val="24"/>
        </w:rPr>
        <w:t xml:space="preserve"> dengan konkret serta merubah isi dan unsur pada Pasal 45A ayat 1 agar kemudian Pasal 45A ayat 1 tersebut dapat diterapkan agar seorang korban bisa mendapat perlindungan hukum yang adil sesuai dengan asas dan prinsip </w:t>
      </w:r>
      <w:r w:rsidRPr="008A7CEB">
        <w:rPr>
          <w:rFonts w:ascii="Times New Roman" w:hAnsi="Times New Roman" w:cs="Times New Roman"/>
          <w:i/>
          <w:sz w:val="24"/>
          <w:szCs w:val="24"/>
        </w:rPr>
        <w:t xml:space="preserve">“equality before the law”. </w:t>
      </w:r>
      <w:r w:rsidRPr="008A7CEB">
        <w:rPr>
          <w:rFonts w:ascii="Times New Roman" w:hAnsi="Times New Roman" w:cs="Times New Roman"/>
          <w:sz w:val="24"/>
          <w:szCs w:val="24"/>
        </w:rPr>
        <w:t xml:space="preserve">Hukuman atau sanksi bagi pelaku tindak pidana semata-mata untuk melindungi korban yang merasa dirugikan akibat perbuatan pelaku. Padahal hak korban untuk mendapat apa yang dia butuhkan saja tidak dikembalikan. Sesuai dengan </w:t>
      </w:r>
      <w:r w:rsidRPr="008A7CEB">
        <w:rPr>
          <w:rFonts w:ascii="Times New Roman" w:hAnsi="Times New Roman" w:cs="Times New Roman"/>
          <w:sz w:val="24"/>
          <w:szCs w:val="24"/>
        </w:rPr>
        <w:lastRenderedPageBreak/>
        <w:t xml:space="preserve">teori keadilan restoratif seharusnya hukuman terhadap pelaku hanya perlu mengembalikan apa yang sudah pelaku itu rampas keuntungannya dari korban. Jika pelaku tidak bisa mengembalikan barulah sang pelaku dilelang hartanya dan apabila tidak cukup harta yang dilelang itu baru diganti dengan pidana kurungan selama waktu tertentu sesuai dengan perundang-undangan yang berlaku dan juga diwajibkan membayar sejumlah denda sesuai dengan ketentuan perundang-undangan yang berlaku atau bisa dilakukan kompensasi. jika tidak sanggup bayar denda baru di pidana penjara karena pidana penjara merupakan upaya terakhir penegakan hukum </w:t>
      </w:r>
      <w:r w:rsidRPr="008A7CEB">
        <w:rPr>
          <w:rFonts w:ascii="Times New Roman" w:hAnsi="Times New Roman" w:cs="Times New Roman"/>
          <w:i/>
          <w:sz w:val="24"/>
          <w:szCs w:val="24"/>
        </w:rPr>
        <w:t>(ultimum remedium).</w:t>
      </w:r>
    </w:p>
    <w:p w14:paraId="699B5DA1" w14:textId="77777777" w:rsidR="008A7CEB" w:rsidRDefault="008A7CEB" w:rsidP="00CB73B3">
      <w:pPr>
        <w:spacing w:line="276" w:lineRule="auto"/>
        <w:jc w:val="both"/>
        <w:rPr>
          <w:rFonts w:ascii="Times New Roman" w:hAnsi="Times New Roman" w:cs="Times New Roman"/>
          <w:sz w:val="24"/>
          <w:szCs w:val="24"/>
        </w:rPr>
      </w:pPr>
    </w:p>
    <w:p w14:paraId="0863E799" w14:textId="77777777" w:rsidR="00C06F31" w:rsidRPr="008A7CEB" w:rsidRDefault="00C06F31" w:rsidP="00CB73B3">
      <w:pPr>
        <w:spacing w:line="276" w:lineRule="auto"/>
        <w:jc w:val="both"/>
        <w:rPr>
          <w:rFonts w:ascii="Times New Roman" w:hAnsi="Times New Roman" w:cs="Times New Roman"/>
          <w:sz w:val="24"/>
          <w:szCs w:val="24"/>
        </w:rPr>
      </w:pPr>
    </w:p>
    <w:p w14:paraId="7BB88097" w14:textId="77777777" w:rsidR="00CB73B3" w:rsidRPr="00CB73B3" w:rsidRDefault="000C7092" w:rsidP="00CB73B3">
      <w:pPr>
        <w:spacing w:line="276" w:lineRule="auto"/>
        <w:jc w:val="both"/>
        <w:rPr>
          <w:rFonts w:ascii="Times New Roman" w:hAnsi="Times New Roman" w:cs="Times New Roman"/>
          <w:b/>
          <w:sz w:val="24"/>
          <w:szCs w:val="24"/>
        </w:rPr>
      </w:pPr>
      <w:commentRangeStart w:id="7"/>
      <w:r w:rsidRPr="00B753EC">
        <w:rPr>
          <w:rFonts w:ascii="Times New Roman" w:hAnsi="Times New Roman" w:cs="Times New Roman"/>
          <w:b/>
          <w:sz w:val="24"/>
          <w:szCs w:val="24"/>
        </w:rPr>
        <w:t>DAFTAR PUSTAKA</w:t>
      </w:r>
      <w:commentRangeEnd w:id="7"/>
      <w:r w:rsidR="00CD5EA8">
        <w:rPr>
          <w:rStyle w:val="CommentReference"/>
        </w:rPr>
        <w:commentReference w:id="7"/>
      </w:r>
    </w:p>
    <w:p w14:paraId="267934A2" w14:textId="2252DECE"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9756EF">
        <w:rPr>
          <w:rFonts w:ascii="Times New Roman" w:hAnsi="Times New Roman" w:cs="Times New Roman"/>
          <w:noProof/>
          <w:sz w:val="24"/>
          <w:szCs w:val="24"/>
        </w:rPr>
        <w:t xml:space="preserve">Aldriano, Muhammad Anthony, and Mas Agus Priyambodo. “Cyber Crime Dalam Sudut Pandang Hukum Pidana.” </w:t>
      </w:r>
      <w:r w:rsidRPr="009756EF">
        <w:rPr>
          <w:rFonts w:ascii="Times New Roman" w:hAnsi="Times New Roman" w:cs="Times New Roman"/>
          <w:i/>
          <w:iCs/>
          <w:noProof/>
          <w:sz w:val="24"/>
          <w:szCs w:val="24"/>
        </w:rPr>
        <w:t>Jurnal Kewarganegaraan</w:t>
      </w:r>
      <w:r w:rsidRPr="009756EF">
        <w:rPr>
          <w:rFonts w:ascii="Times New Roman" w:hAnsi="Times New Roman" w:cs="Times New Roman"/>
          <w:noProof/>
          <w:sz w:val="24"/>
          <w:szCs w:val="24"/>
        </w:rPr>
        <w:t xml:space="preserve"> 6, no. 1 (2022): 2169–75. https://doi.org/https://doi.org/10.31316/jk.v6i1.2947.</w:t>
      </w:r>
    </w:p>
    <w:p w14:paraId="12E4DF9B"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Armour, Marilyn. “‘Restorative Justice: Some Facts and History.’” </w:t>
      </w:r>
      <w:r w:rsidRPr="009756EF">
        <w:rPr>
          <w:rFonts w:ascii="Times New Roman" w:hAnsi="Times New Roman" w:cs="Times New Roman"/>
          <w:i/>
          <w:iCs/>
          <w:noProof/>
          <w:sz w:val="24"/>
          <w:szCs w:val="24"/>
        </w:rPr>
        <w:t>Tikkun</w:t>
      </w:r>
      <w:r w:rsidRPr="009756EF">
        <w:rPr>
          <w:rFonts w:ascii="Times New Roman" w:hAnsi="Times New Roman" w:cs="Times New Roman"/>
          <w:noProof/>
          <w:sz w:val="24"/>
          <w:szCs w:val="24"/>
        </w:rPr>
        <w:t xml:space="preserve"> 27, no. 1 (2012). https://doi.org/https://doi.org/10.1215/08879982-2012-1012.</w:t>
      </w:r>
    </w:p>
    <w:p w14:paraId="7162EBFC"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Artadi, Ibnu. “Menggugat Efektivitas Penerapan Pidana Penjara Pendek Menuju Suatu Proses Peradilan Yang Humanis.” </w:t>
      </w:r>
      <w:r w:rsidRPr="009756EF">
        <w:rPr>
          <w:rFonts w:ascii="Times New Roman" w:hAnsi="Times New Roman" w:cs="Times New Roman"/>
          <w:i/>
          <w:iCs/>
          <w:noProof/>
          <w:sz w:val="24"/>
          <w:szCs w:val="24"/>
        </w:rPr>
        <w:t>Jurnal Hukum pro Justitia</w:t>
      </w:r>
      <w:r w:rsidRPr="009756EF">
        <w:rPr>
          <w:rFonts w:ascii="Times New Roman" w:hAnsi="Times New Roman" w:cs="Times New Roman"/>
          <w:noProof/>
          <w:sz w:val="24"/>
          <w:szCs w:val="24"/>
        </w:rPr>
        <w:t xml:space="preserve"> 24 No (2016).</w:t>
      </w:r>
    </w:p>
    <w:p w14:paraId="7B0428F7"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Butarbutar, Elisabeth Nurhaini. </w:t>
      </w:r>
      <w:r w:rsidRPr="009756EF">
        <w:rPr>
          <w:rFonts w:ascii="Times New Roman" w:hAnsi="Times New Roman" w:cs="Times New Roman"/>
          <w:i/>
          <w:iCs/>
          <w:noProof/>
          <w:sz w:val="24"/>
          <w:szCs w:val="24"/>
        </w:rPr>
        <w:t>Metode Penelitian Hukum</w:t>
      </w:r>
      <w:r w:rsidRPr="009756EF">
        <w:rPr>
          <w:rFonts w:ascii="Times New Roman" w:hAnsi="Times New Roman" w:cs="Times New Roman"/>
          <w:noProof/>
          <w:sz w:val="24"/>
          <w:szCs w:val="24"/>
        </w:rPr>
        <w:t>. Bandung: refika aditama, 2018.</w:t>
      </w:r>
    </w:p>
    <w:p w14:paraId="69A486D6"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Diniyah, Khanifah Jannatul. “Perlindungan Hukum Bagi Korban Tindak Pidana Cyber Crime Phishing.” </w:t>
      </w:r>
      <w:r w:rsidRPr="009756EF">
        <w:rPr>
          <w:rFonts w:ascii="Times New Roman" w:hAnsi="Times New Roman" w:cs="Times New Roman"/>
          <w:i/>
          <w:iCs/>
          <w:noProof/>
          <w:sz w:val="24"/>
          <w:szCs w:val="24"/>
        </w:rPr>
        <w:t>Jurnal Ilmiah Ilmu Hukum Dinamika</w:t>
      </w:r>
      <w:r w:rsidRPr="009756EF">
        <w:rPr>
          <w:rFonts w:ascii="Times New Roman" w:hAnsi="Times New Roman" w:cs="Times New Roman"/>
          <w:noProof/>
          <w:sz w:val="24"/>
          <w:szCs w:val="24"/>
        </w:rPr>
        <w:t xml:space="preserve"> 28, no. 5 (2022).</w:t>
      </w:r>
    </w:p>
    <w:p w14:paraId="67D5AA5D"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Fasyadhiyaksa Putra Y, Vikran. “Modus Operandi Tindak Pidana Phising Menurut UU ITE.” </w:t>
      </w:r>
      <w:r w:rsidRPr="009756EF">
        <w:rPr>
          <w:rFonts w:ascii="Times New Roman" w:hAnsi="Times New Roman" w:cs="Times New Roman"/>
          <w:i/>
          <w:iCs/>
          <w:noProof/>
          <w:sz w:val="24"/>
          <w:szCs w:val="24"/>
        </w:rPr>
        <w:t>Jurist-Diction</w:t>
      </w:r>
      <w:r w:rsidRPr="009756EF">
        <w:rPr>
          <w:rFonts w:ascii="Times New Roman" w:hAnsi="Times New Roman" w:cs="Times New Roman"/>
          <w:noProof/>
          <w:sz w:val="24"/>
          <w:szCs w:val="24"/>
        </w:rPr>
        <w:t xml:space="preserve"> 4 no. 1 (2021).</w:t>
      </w:r>
    </w:p>
    <w:p w14:paraId="0AF59DD6"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Gulo, Ardi Saputra, Sahuri Lasmadi, and Khabib Nawawi. “Cyber Crime Dalam Bentuk Phising Berdasarkan Undang-Undang Informasi Dan Transaksi Elektronik.” </w:t>
      </w:r>
      <w:r w:rsidRPr="009756EF">
        <w:rPr>
          <w:rFonts w:ascii="Times New Roman" w:hAnsi="Times New Roman" w:cs="Times New Roman"/>
          <w:i/>
          <w:iCs/>
          <w:noProof/>
          <w:sz w:val="24"/>
          <w:szCs w:val="24"/>
        </w:rPr>
        <w:t>PAMPAS: Journal of Criminal Law</w:t>
      </w:r>
      <w:r w:rsidRPr="009756EF">
        <w:rPr>
          <w:rFonts w:ascii="Times New Roman" w:hAnsi="Times New Roman" w:cs="Times New Roman"/>
          <w:noProof/>
          <w:sz w:val="24"/>
          <w:szCs w:val="24"/>
        </w:rPr>
        <w:t xml:space="preserve"> 1, no. 2 (2021): 68–81. https://doi.org/https://doi.org/10.22437/pampas.v1i2.9574.</w:t>
      </w:r>
    </w:p>
    <w:p w14:paraId="0BB4CB60"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Gunarto, Marcus Priyo. “Asas Keseimbangan Dalam Konsep Rancangan Undang-Undang Kitab Undang-Undang Hukum Pidana.” </w:t>
      </w:r>
      <w:r w:rsidRPr="009756EF">
        <w:rPr>
          <w:rFonts w:ascii="Times New Roman" w:hAnsi="Times New Roman" w:cs="Times New Roman"/>
          <w:i/>
          <w:iCs/>
          <w:noProof/>
          <w:sz w:val="24"/>
          <w:szCs w:val="24"/>
        </w:rPr>
        <w:t>Jurnal Mimbar Hukum</w:t>
      </w:r>
      <w:r w:rsidRPr="009756EF">
        <w:rPr>
          <w:rFonts w:ascii="Times New Roman" w:hAnsi="Times New Roman" w:cs="Times New Roman"/>
          <w:noProof/>
          <w:sz w:val="24"/>
          <w:szCs w:val="24"/>
        </w:rPr>
        <w:t xml:space="preserve"> 24, no. 1 (2012): 83–97. https://doi.org/https://doi.org/10.22146/jmh.16143.</w:t>
      </w:r>
    </w:p>
    <w:p w14:paraId="31EAD0EE"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Gunawan, T.J. </w:t>
      </w:r>
      <w:r w:rsidRPr="009756EF">
        <w:rPr>
          <w:rFonts w:ascii="Times New Roman" w:hAnsi="Times New Roman" w:cs="Times New Roman"/>
          <w:i/>
          <w:iCs/>
          <w:noProof/>
          <w:sz w:val="24"/>
          <w:szCs w:val="24"/>
        </w:rPr>
        <w:t>Keseimbangan Nilai Pidana Penjara Dan Pidana Denda Perspektif Penology Melalui Pendekatan Analisis Ekonomi</w:t>
      </w:r>
      <w:r w:rsidRPr="009756EF">
        <w:rPr>
          <w:rFonts w:ascii="Times New Roman" w:hAnsi="Times New Roman" w:cs="Times New Roman"/>
          <w:noProof/>
          <w:sz w:val="24"/>
          <w:szCs w:val="24"/>
        </w:rPr>
        <w:t>. Jakarta: kencana, 2022.</w:t>
      </w:r>
    </w:p>
    <w:p w14:paraId="185E1700"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Laksana, Andri Winjaya. “Pemidanaan Cybercrime Dalam Perspektif Hukum Pidana Positif.” </w:t>
      </w:r>
      <w:r w:rsidRPr="009756EF">
        <w:rPr>
          <w:rFonts w:ascii="Times New Roman" w:hAnsi="Times New Roman" w:cs="Times New Roman"/>
          <w:i/>
          <w:iCs/>
          <w:noProof/>
          <w:sz w:val="24"/>
          <w:szCs w:val="24"/>
        </w:rPr>
        <w:t>Jurnal Hukum Unissula</w:t>
      </w:r>
      <w:r w:rsidRPr="009756EF">
        <w:rPr>
          <w:rFonts w:ascii="Times New Roman" w:hAnsi="Times New Roman" w:cs="Times New Roman"/>
          <w:noProof/>
          <w:sz w:val="24"/>
          <w:szCs w:val="24"/>
        </w:rPr>
        <w:t xml:space="preserve"> 35, no. 1 (2019): 52–76. https://doi.org/http://dx.doi.org/10.26532/jh.v35i1.11044.</w:t>
      </w:r>
    </w:p>
    <w:p w14:paraId="6CA51AFD"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Liebling, Alison. “Prisons in Transition.” </w:t>
      </w:r>
      <w:r w:rsidRPr="009756EF">
        <w:rPr>
          <w:rFonts w:ascii="Times New Roman" w:hAnsi="Times New Roman" w:cs="Times New Roman"/>
          <w:i/>
          <w:iCs/>
          <w:noProof/>
          <w:sz w:val="24"/>
          <w:szCs w:val="24"/>
        </w:rPr>
        <w:t>International Journal of Law and Psychiatry</w:t>
      </w:r>
      <w:r w:rsidRPr="009756EF">
        <w:rPr>
          <w:rFonts w:ascii="Times New Roman" w:hAnsi="Times New Roman" w:cs="Times New Roman"/>
          <w:noProof/>
          <w:sz w:val="24"/>
          <w:szCs w:val="24"/>
        </w:rPr>
        <w:t xml:space="preserve"> 29, no. 5 (2006): 422–30. https://doi.org/https://doi.org/10.1016/j.ijlp.2006.03.002.</w:t>
      </w:r>
    </w:p>
    <w:p w14:paraId="15093A66"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Marzuki, Peter Mahmud. </w:t>
      </w:r>
      <w:r w:rsidRPr="009756EF">
        <w:rPr>
          <w:rFonts w:ascii="Times New Roman" w:hAnsi="Times New Roman" w:cs="Times New Roman"/>
          <w:i/>
          <w:iCs/>
          <w:noProof/>
          <w:sz w:val="24"/>
          <w:szCs w:val="24"/>
        </w:rPr>
        <w:t>Penelitian Hukum</w:t>
      </w:r>
      <w:r w:rsidRPr="009756EF">
        <w:rPr>
          <w:rFonts w:ascii="Times New Roman" w:hAnsi="Times New Roman" w:cs="Times New Roman"/>
          <w:noProof/>
          <w:sz w:val="24"/>
          <w:szCs w:val="24"/>
        </w:rPr>
        <w:t>. Jakarta: Kencana prenada media group, 2013.</w:t>
      </w:r>
    </w:p>
    <w:p w14:paraId="1E12107B"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lastRenderedPageBreak/>
        <w:t xml:space="preserve">Nawawi Arief, Barda. </w:t>
      </w:r>
      <w:r w:rsidRPr="009756EF">
        <w:rPr>
          <w:rFonts w:ascii="Times New Roman" w:hAnsi="Times New Roman" w:cs="Times New Roman"/>
          <w:i/>
          <w:iCs/>
          <w:noProof/>
          <w:sz w:val="24"/>
          <w:szCs w:val="24"/>
        </w:rPr>
        <w:t>Beberapa Aspek Kebijakan Penegakan Dan Pengembangan Hukum Pidana</w:t>
      </w:r>
      <w:r w:rsidRPr="009756EF">
        <w:rPr>
          <w:rFonts w:ascii="Times New Roman" w:hAnsi="Times New Roman" w:cs="Times New Roman"/>
          <w:noProof/>
          <w:sz w:val="24"/>
          <w:szCs w:val="24"/>
        </w:rPr>
        <w:t>. Bandung: Citra aditya bakti, 1998.</w:t>
      </w:r>
    </w:p>
    <w:p w14:paraId="360F05B7"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Rahmanto, Tony Yuri. “Penegakan Hukum Terhadap Tindak Pidana Penipuan Berbasis Transaksi Elektronik.” </w:t>
      </w:r>
      <w:r w:rsidRPr="009756EF">
        <w:rPr>
          <w:rFonts w:ascii="Times New Roman" w:hAnsi="Times New Roman" w:cs="Times New Roman"/>
          <w:i/>
          <w:iCs/>
          <w:noProof/>
          <w:sz w:val="24"/>
          <w:szCs w:val="24"/>
        </w:rPr>
        <w:t>Jurnal Penelitian Hukum De Jure</w:t>
      </w:r>
      <w:r w:rsidRPr="009756EF">
        <w:rPr>
          <w:rFonts w:ascii="Times New Roman" w:hAnsi="Times New Roman" w:cs="Times New Roman"/>
          <w:noProof/>
          <w:sz w:val="24"/>
          <w:szCs w:val="24"/>
        </w:rPr>
        <w:t xml:space="preserve"> 19, no. 1 (2019): 31–52. https://doi.org/10.30641/dejure.2019.v19.31-52.</w:t>
      </w:r>
    </w:p>
    <w:p w14:paraId="795B1ECF"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Sitompul, Josua. </w:t>
      </w:r>
      <w:r w:rsidRPr="009756EF">
        <w:rPr>
          <w:rFonts w:ascii="Times New Roman" w:hAnsi="Times New Roman" w:cs="Times New Roman"/>
          <w:i/>
          <w:iCs/>
          <w:noProof/>
          <w:sz w:val="24"/>
          <w:szCs w:val="24"/>
        </w:rPr>
        <w:t>Cyberspace, Cybercrime, Cyberlaw, Tinjauan Aspek Hukum Pidana</w:t>
      </w:r>
      <w:r w:rsidRPr="009756EF">
        <w:rPr>
          <w:rFonts w:ascii="Times New Roman" w:hAnsi="Times New Roman" w:cs="Times New Roman"/>
          <w:noProof/>
          <w:sz w:val="24"/>
          <w:szCs w:val="24"/>
        </w:rPr>
        <w:t>. Jakarta: PT Tatanusa, 2012.</w:t>
      </w:r>
    </w:p>
    <w:p w14:paraId="37B9E987"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Sunarso, Siswanto. </w:t>
      </w:r>
      <w:r w:rsidRPr="009756EF">
        <w:rPr>
          <w:rFonts w:ascii="Times New Roman" w:hAnsi="Times New Roman" w:cs="Times New Roman"/>
          <w:i/>
          <w:iCs/>
          <w:noProof/>
          <w:sz w:val="24"/>
          <w:szCs w:val="24"/>
        </w:rPr>
        <w:t>Hukum Informasi Dan Transaksi Elektronik, Studi Kasus: Prita Mulyasari</w:t>
      </w:r>
      <w:r w:rsidRPr="009756EF">
        <w:rPr>
          <w:rFonts w:ascii="Times New Roman" w:hAnsi="Times New Roman" w:cs="Times New Roman"/>
          <w:noProof/>
          <w:sz w:val="24"/>
          <w:szCs w:val="24"/>
        </w:rPr>
        <w:t>, 2009.</w:t>
      </w:r>
    </w:p>
    <w:p w14:paraId="7240C378"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 </w:t>
      </w:r>
      <w:r w:rsidRPr="009756EF">
        <w:rPr>
          <w:rFonts w:ascii="Times New Roman" w:hAnsi="Times New Roman" w:cs="Times New Roman"/>
          <w:i/>
          <w:iCs/>
          <w:noProof/>
          <w:sz w:val="24"/>
          <w:szCs w:val="24"/>
        </w:rPr>
        <w:t>Viktimologi Dalam Sistem Peradilan Pidana</w:t>
      </w:r>
      <w:r w:rsidRPr="009756EF">
        <w:rPr>
          <w:rFonts w:ascii="Times New Roman" w:hAnsi="Times New Roman" w:cs="Times New Roman"/>
          <w:noProof/>
          <w:sz w:val="24"/>
          <w:szCs w:val="24"/>
        </w:rPr>
        <w:t>. Jakarta: Sinar grafika, 2014.</w:t>
      </w:r>
    </w:p>
    <w:p w14:paraId="3997D438"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Supanto. </w:t>
      </w:r>
      <w:r w:rsidRPr="009756EF">
        <w:rPr>
          <w:rFonts w:ascii="Times New Roman" w:hAnsi="Times New Roman" w:cs="Times New Roman"/>
          <w:i/>
          <w:iCs/>
          <w:noProof/>
          <w:sz w:val="24"/>
          <w:szCs w:val="24"/>
        </w:rPr>
        <w:t>Kebijakan Formulasi Hukum Pidana Ekonomi Dalam Menghadapi Perkembangan Globalisasi Ekonomi</w:t>
      </w:r>
      <w:r w:rsidRPr="009756EF">
        <w:rPr>
          <w:rFonts w:ascii="Times New Roman" w:hAnsi="Times New Roman" w:cs="Times New Roman"/>
          <w:noProof/>
          <w:sz w:val="24"/>
          <w:szCs w:val="24"/>
        </w:rPr>
        <w:t>. Surakarta: UNS Press, 2015.</w:t>
      </w:r>
    </w:p>
    <w:p w14:paraId="10B54B7A"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Suratman, and Phillips Dilla. </w:t>
      </w:r>
      <w:r w:rsidRPr="009756EF">
        <w:rPr>
          <w:rFonts w:ascii="Times New Roman" w:hAnsi="Times New Roman" w:cs="Times New Roman"/>
          <w:i/>
          <w:iCs/>
          <w:noProof/>
          <w:sz w:val="24"/>
          <w:szCs w:val="24"/>
        </w:rPr>
        <w:t>Metode Penelitian Hukum</w:t>
      </w:r>
      <w:r w:rsidRPr="009756EF">
        <w:rPr>
          <w:rFonts w:ascii="Times New Roman" w:hAnsi="Times New Roman" w:cs="Times New Roman"/>
          <w:noProof/>
          <w:sz w:val="24"/>
          <w:szCs w:val="24"/>
        </w:rPr>
        <w:t>. Bandung: Alfabeta, 2015.</w:t>
      </w:r>
    </w:p>
    <w:p w14:paraId="161D46B6"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Wahid, Abdul, and Mohammad Labib. </w:t>
      </w:r>
      <w:r w:rsidRPr="009756EF">
        <w:rPr>
          <w:rFonts w:ascii="Times New Roman" w:hAnsi="Times New Roman" w:cs="Times New Roman"/>
          <w:i/>
          <w:iCs/>
          <w:noProof/>
          <w:sz w:val="24"/>
          <w:szCs w:val="24"/>
        </w:rPr>
        <w:t>Kejahatan Mayantara (Cyber Crime)</w:t>
      </w:r>
      <w:r w:rsidRPr="009756EF">
        <w:rPr>
          <w:rFonts w:ascii="Times New Roman" w:hAnsi="Times New Roman" w:cs="Times New Roman"/>
          <w:noProof/>
          <w:sz w:val="24"/>
          <w:szCs w:val="24"/>
        </w:rPr>
        <w:t>. Bandung: pt refika aditama, 2010.</w:t>
      </w:r>
    </w:p>
    <w:p w14:paraId="7C2E8137"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Wahyudi, Dheny. “Perlindungan Hukum Terhadap Korban Kejahatan Cyber Crime Di Indonesia.” </w:t>
      </w:r>
      <w:r w:rsidRPr="009756EF">
        <w:rPr>
          <w:rFonts w:ascii="Times New Roman" w:hAnsi="Times New Roman" w:cs="Times New Roman"/>
          <w:i/>
          <w:iCs/>
          <w:noProof/>
          <w:sz w:val="24"/>
          <w:szCs w:val="24"/>
        </w:rPr>
        <w:t>Jurnal Ilmu Hukum Jambi</w:t>
      </w:r>
      <w:r w:rsidRPr="009756EF">
        <w:rPr>
          <w:rFonts w:ascii="Times New Roman" w:hAnsi="Times New Roman" w:cs="Times New Roman"/>
          <w:noProof/>
          <w:sz w:val="24"/>
          <w:szCs w:val="24"/>
        </w:rPr>
        <w:t xml:space="preserve"> 4, no. 1 (2013): 98–113.</w:t>
      </w:r>
    </w:p>
    <w:p w14:paraId="1F2017AA"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szCs w:val="24"/>
        </w:rPr>
      </w:pPr>
      <w:r w:rsidRPr="009756EF">
        <w:rPr>
          <w:rFonts w:ascii="Times New Roman" w:hAnsi="Times New Roman" w:cs="Times New Roman"/>
          <w:noProof/>
          <w:sz w:val="24"/>
          <w:szCs w:val="24"/>
        </w:rPr>
        <w:t xml:space="preserve">Wibowo, Mia Haryati, and Nur Fatimah. “Ancaman Phishing Terhadap Pengguna Sosial Media Dalam Dunia Cyber Crime.” </w:t>
      </w:r>
      <w:r w:rsidRPr="009756EF">
        <w:rPr>
          <w:rFonts w:ascii="Times New Roman" w:hAnsi="Times New Roman" w:cs="Times New Roman"/>
          <w:i/>
          <w:iCs/>
          <w:noProof/>
          <w:sz w:val="24"/>
          <w:szCs w:val="24"/>
        </w:rPr>
        <w:t>JoEICT (Journal of Education And ICT)</w:t>
      </w:r>
      <w:r w:rsidRPr="009756EF">
        <w:rPr>
          <w:rFonts w:ascii="Times New Roman" w:hAnsi="Times New Roman" w:cs="Times New Roman"/>
          <w:noProof/>
          <w:sz w:val="24"/>
          <w:szCs w:val="24"/>
        </w:rPr>
        <w:t xml:space="preserve"> 1, no. 1 (2017): 1–5. https://jurnal.stkippgritulungagung.ac.id/index.php/joeict/article/view/69.</w:t>
      </w:r>
    </w:p>
    <w:p w14:paraId="2D3891D3" w14:textId="77777777" w:rsidR="009756EF" w:rsidRPr="009756EF" w:rsidRDefault="009756EF" w:rsidP="009756EF">
      <w:pPr>
        <w:widowControl w:val="0"/>
        <w:autoSpaceDE w:val="0"/>
        <w:autoSpaceDN w:val="0"/>
        <w:adjustRightInd w:val="0"/>
        <w:spacing w:line="240" w:lineRule="auto"/>
        <w:ind w:left="480" w:hanging="480"/>
        <w:rPr>
          <w:rFonts w:ascii="Times New Roman" w:hAnsi="Times New Roman" w:cs="Times New Roman"/>
          <w:noProof/>
          <w:sz w:val="24"/>
        </w:rPr>
      </w:pPr>
      <w:r w:rsidRPr="009756EF">
        <w:rPr>
          <w:rFonts w:ascii="Times New Roman" w:hAnsi="Times New Roman" w:cs="Times New Roman"/>
          <w:noProof/>
          <w:sz w:val="24"/>
          <w:szCs w:val="24"/>
        </w:rPr>
        <w:t xml:space="preserve">Widodo. </w:t>
      </w:r>
      <w:r w:rsidRPr="009756EF">
        <w:rPr>
          <w:rFonts w:ascii="Times New Roman" w:hAnsi="Times New Roman" w:cs="Times New Roman"/>
          <w:i/>
          <w:iCs/>
          <w:noProof/>
          <w:sz w:val="24"/>
          <w:szCs w:val="24"/>
        </w:rPr>
        <w:t>Memerangi Cybercrime Karateristik, Motivasi, Dan Strategi Penanganannya Dalam Prespektif Kriminologi.</w:t>
      </w:r>
      <w:r w:rsidRPr="009756EF">
        <w:rPr>
          <w:rFonts w:ascii="Times New Roman" w:hAnsi="Times New Roman" w:cs="Times New Roman"/>
          <w:noProof/>
          <w:sz w:val="24"/>
          <w:szCs w:val="24"/>
        </w:rPr>
        <w:t>, 2013.</w:t>
      </w:r>
    </w:p>
    <w:p w14:paraId="15A1070A" w14:textId="07C4C1FE" w:rsidR="0028511D" w:rsidRPr="0028511D" w:rsidRDefault="009756EF" w:rsidP="0028511D">
      <w:pPr>
        <w:spacing w:line="276"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28511D" w:rsidRPr="0028511D" w:rsidSect="001244A8">
      <w:pgSz w:w="11906" w:h="16838" w:code="9"/>
      <w:pgMar w:top="1582" w:right="1582" w:bottom="1202" w:left="167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ditor" w:date="2023-03-07T07:06:00Z" w:initials="SJR">
    <w:p w14:paraId="2CAFE812" w14:textId="77777777" w:rsidR="00F0706D" w:rsidRDefault="00F0706D">
      <w:pPr>
        <w:pStyle w:val="CommentText"/>
        <w:rPr>
          <w:lang w:val="id-ID"/>
        </w:rPr>
      </w:pPr>
      <w:r>
        <w:rPr>
          <w:rStyle w:val="CommentReference"/>
        </w:rPr>
        <w:annotationRef/>
      </w:r>
      <w:r>
        <w:rPr>
          <w:lang w:val="id-ID"/>
        </w:rPr>
        <w:t>Pengutipan wajiab menggunakan Reference Manager dan disarankan Mendeley versi 1.19.8</w:t>
      </w:r>
    </w:p>
    <w:p w14:paraId="7366C7CA" w14:textId="77777777" w:rsidR="00F0706D" w:rsidRDefault="00F0706D">
      <w:pPr>
        <w:pStyle w:val="CommentText"/>
        <w:rPr>
          <w:lang w:val="id-ID"/>
        </w:rPr>
      </w:pPr>
      <w:r>
        <w:rPr>
          <w:lang w:val="id-ID"/>
        </w:rPr>
        <w:t>Judul ditulis dgn format Capitalied Each Word</w:t>
      </w:r>
    </w:p>
    <w:p w14:paraId="490B74A3" w14:textId="77777777" w:rsidR="00A56DD2" w:rsidRPr="00F0706D" w:rsidRDefault="00A56DD2">
      <w:pPr>
        <w:pStyle w:val="CommentText"/>
        <w:rPr>
          <w:lang w:val="id-ID"/>
        </w:rPr>
      </w:pPr>
      <w:r>
        <w:rPr>
          <w:lang w:val="id-ID"/>
        </w:rPr>
        <w:t>Artikel ditunggu revisinya dalam kuru waktu 7 hari.</w:t>
      </w:r>
    </w:p>
  </w:comment>
  <w:comment w:id="2" w:author="Editor" w:date="2023-03-07T07:01:00Z" w:initials="SJR">
    <w:p w14:paraId="35F086EE" w14:textId="77777777" w:rsidR="00F0706D" w:rsidRDefault="00F0706D">
      <w:pPr>
        <w:pStyle w:val="CommentText"/>
        <w:rPr>
          <w:lang w:val="id-ID"/>
        </w:rPr>
      </w:pPr>
      <w:r>
        <w:rPr>
          <w:rStyle w:val="CommentReference"/>
        </w:rPr>
        <w:annotationRef/>
      </w:r>
      <w:r>
        <w:rPr>
          <w:lang w:val="id-ID"/>
        </w:rPr>
        <w:t>Pendahuluan berisi latar belakang dan urgensi penelitian 3-4 paragraf. # paragraf masing-masing berisi uraian penelitian  sebelumnya berupa jurnal terbaru (3 tahun terakhir) utk menujnkkan state of the art penelitian ini</w:t>
      </w:r>
    </w:p>
    <w:p w14:paraId="67752A81" w14:textId="77777777" w:rsidR="00F0706D" w:rsidRPr="00F0706D" w:rsidRDefault="00F0706D">
      <w:pPr>
        <w:pStyle w:val="CommentText"/>
        <w:rPr>
          <w:lang w:val="id-ID"/>
        </w:rPr>
      </w:pPr>
      <w:r>
        <w:rPr>
          <w:lang w:val="id-ID"/>
        </w:rPr>
        <w:t>Pendahuluan maksimal 1000 kata</w:t>
      </w:r>
    </w:p>
  </w:comment>
  <w:comment w:id="3" w:author="Editor" w:date="2023-03-07T07:02:00Z" w:initials="SJR">
    <w:p w14:paraId="14EC9319" w14:textId="77777777" w:rsidR="00F0706D" w:rsidRPr="00F0706D" w:rsidRDefault="00F0706D">
      <w:pPr>
        <w:pStyle w:val="CommentText"/>
        <w:rPr>
          <w:lang w:val="id-ID"/>
        </w:rPr>
      </w:pPr>
      <w:r>
        <w:rPr>
          <w:rStyle w:val="CommentReference"/>
        </w:rPr>
        <w:annotationRef/>
      </w:r>
      <w:r>
        <w:rPr>
          <w:lang w:val="id-ID"/>
        </w:rPr>
        <w:t>Tdk ada jarak spasi dalam setipa pergantian bab, sub bab dan paragraf</w:t>
      </w:r>
    </w:p>
  </w:comment>
  <w:comment w:id="4" w:author="Editor" w:date="2023-03-07T06:59:00Z" w:initials="SJR">
    <w:p w14:paraId="52D3DFB3" w14:textId="77777777" w:rsidR="00F0706D" w:rsidRPr="00F0706D" w:rsidRDefault="00F0706D">
      <w:pPr>
        <w:pStyle w:val="CommentText"/>
        <w:rPr>
          <w:lang w:val="id-ID"/>
        </w:rPr>
      </w:pPr>
      <w:r>
        <w:rPr>
          <w:rStyle w:val="CommentReference"/>
        </w:rPr>
        <w:annotationRef/>
      </w:r>
      <w:r>
        <w:rPr>
          <w:lang w:val="id-ID"/>
        </w:rPr>
        <w:t>Setiap istilah asing harap dicetak miring</w:t>
      </w:r>
    </w:p>
  </w:comment>
  <w:comment w:id="5" w:author="Editor" w:date="2023-03-07T07:01:00Z" w:initials="SJR">
    <w:p w14:paraId="2539CA05" w14:textId="77777777" w:rsidR="00F0706D" w:rsidRPr="00F0706D" w:rsidRDefault="00F0706D">
      <w:pPr>
        <w:pStyle w:val="CommentText"/>
        <w:rPr>
          <w:lang w:val="id-ID"/>
        </w:rPr>
      </w:pPr>
      <w:r>
        <w:rPr>
          <w:rStyle w:val="CommentReference"/>
        </w:rPr>
        <w:annotationRef/>
      </w:r>
      <w:r>
        <w:rPr>
          <w:lang w:val="id-ID"/>
        </w:rPr>
        <w:t>Setiap istilah asing pada artikel ini harap dicetak miring</w:t>
      </w:r>
    </w:p>
  </w:comment>
  <w:comment w:id="6" w:author="Editor" w:date="2023-03-07T07:03:00Z" w:initials="SJR">
    <w:p w14:paraId="7CB671B3" w14:textId="77777777" w:rsidR="00CD5EA8" w:rsidRPr="00CD5EA8" w:rsidRDefault="00CD5EA8">
      <w:pPr>
        <w:pStyle w:val="CommentText"/>
        <w:rPr>
          <w:lang w:val="id-ID"/>
        </w:rPr>
      </w:pPr>
      <w:r>
        <w:rPr>
          <w:rStyle w:val="CommentReference"/>
        </w:rPr>
        <w:annotationRef/>
      </w:r>
      <w:r>
        <w:rPr>
          <w:lang w:val="id-ID"/>
        </w:rPr>
        <w:t>Penutup cukup 1 paragraf. Penutup berisi kesimpulan yang menjawab tujuan penelitian dan maksimal 200 kata</w:t>
      </w:r>
    </w:p>
  </w:comment>
  <w:comment w:id="7" w:author="Editor" w:date="2023-03-07T07:05:00Z" w:initials="SJR">
    <w:p w14:paraId="7E34D0B7" w14:textId="77777777" w:rsidR="00CD5EA8" w:rsidRDefault="00CD5EA8">
      <w:pPr>
        <w:pStyle w:val="CommentText"/>
        <w:rPr>
          <w:lang w:val="id-ID"/>
        </w:rPr>
      </w:pPr>
      <w:r>
        <w:rPr>
          <w:rStyle w:val="CommentReference"/>
        </w:rPr>
        <w:annotationRef/>
      </w:r>
      <w:r>
        <w:rPr>
          <w:lang w:val="id-ID"/>
        </w:rPr>
        <w:t>Daftar pustaka miniaml 20 referensii dengan perbandingan 85% berupa jurnal/proceeding nasional/internasional, Disertasi dalam kurun waktu 3 tahun terakhir (belum termasuk UU)</w:t>
      </w:r>
    </w:p>
    <w:p w14:paraId="4B3803E0" w14:textId="77777777" w:rsidR="00CD5EA8" w:rsidRPr="00CD5EA8" w:rsidRDefault="00CD5EA8">
      <w:pPr>
        <w:pStyle w:val="CommentText"/>
        <w:rPr>
          <w:lang w:val="id-ID"/>
        </w:rPr>
      </w:pPr>
      <w:r>
        <w:rPr>
          <w:lang w:val="id-ID"/>
        </w:rPr>
        <w:t>DP disusun dgn insert bibliography yang ada di mendeley sehingga akan tersusun otomatis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0B74A3" w15:done="0"/>
  <w15:commentEx w15:paraId="67752A81" w15:done="0"/>
  <w15:commentEx w15:paraId="14EC9319" w15:done="0"/>
  <w15:commentEx w15:paraId="52D3DFB3" w15:done="0"/>
  <w15:commentEx w15:paraId="2539CA05" w15:done="0"/>
  <w15:commentEx w15:paraId="7CB671B3" w15:done="0"/>
  <w15:commentEx w15:paraId="4B3803E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233D1" w14:textId="77777777" w:rsidR="00174A9F" w:rsidRDefault="00174A9F" w:rsidP="00D04527">
      <w:pPr>
        <w:spacing w:after="0" w:line="240" w:lineRule="auto"/>
      </w:pPr>
      <w:r>
        <w:separator/>
      </w:r>
    </w:p>
  </w:endnote>
  <w:endnote w:type="continuationSeparator" w:id="0">
    <w:p w14:paraId="51C07D7A" w14:textId="77777777" w:rsidR="00174A9F" w:rsidRDefault="00174A9F" w:rsidP="00D0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6538A" w14:textId="77777777" w:rsidR="00174A9F" w:rsidRDefault="00174A9F" w:rsidP="00D04527">
      <w:pPr>
        <w:spacing w:after="0" w:line="240" w:lineRule="auto"/>
      </w:pPr>
      <w:r>
        <w:separator/>
      </w:r>
    </w:p>
  </w:footnote>
  <w:footnote w:type="continuationSeparator" w:id="0">
    <w:p w14:paraId="508525A4" w14:textId="77777777" w:rsidR="00174A9F" w:rsidRDefault="00174A9F" w:rsidP="00D04527">
      <w:pPr>
        <w:spacing w:after="0" w:line="240" w:lineRule="auto"/>
      </w:pPr>
      <w:r>
        <w:continuationSeparator/>
      </w:r>
    </w:p>
  </w:footnote>
  <w:footnote w:id="1">
    <w:p w14:paraId="470BF344" w14:textId="1912FAB4" w:rsidR="00441DB7" w:rsidRDefault="00441DB7" w:rsidP="00441DB7">
      <w:pPr>
        <w:pStyle w:val="FootnoteText"/>
        <w:ind w:left="720" w:hanging="720"/>
      </w:pPr>
      <w:r>
        <w:rPr>
          <w:rStyle w:val="FootnoteReference"/>
        </w:rPr>
        <w:footnoteRef/>
      </w:r>
      <w:r>
        <w:t xml:space="preserve"> </w:t>
      </w:r>
      <w:r w:rsidRPr="00441DB7">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{"citationItems":[{"id":"ITEM-1","itemData":{"DOI":"10.30641/dejure.2019.v19.31-52","ISSN":"1410-5632","abstract":"Tindak pidana penipuan saat ini semakin berkembang mengikuti perkembangan zaman dan kemajuan teknologi. Aturan hukum dibuat untuk mengantisipasi hal tersebut namun aturan yang ada rupanya tidak membuat tindak pidana tersebut semakin berkurang tetapi mengalami peningkatan. Penelitian ini bertujuan untuk: pertama, mengetahui penegakan hukum terhadap tindak pidana penipuan berbasis e-commerce; dan kedua, mengetahui faktor-faktor penghambat dalam penegakan hukum pidana terhadap tindak pidana penipuan berbasis e-commerce. Penelitian ini dilakukan dengan metode yuridis normatif melalui studi kepustakaan dengan menelaah data sekunder meliputi peraturan perundang-undangan, hasil penelitian, jurnal ilmiah dan referensi. Hasil penelitian menggambarkan bahwa tindak pidana penipuan berbasis e-commerce pada prinisipnya sama dengan penipuan dengan cara konvensional namun yang menjadi perbedaan terletak pada alat bukti atau sarana perbuatannya yakni menggunakan sistem elektronik (komputer, internet, perangkat telekomunikasi). Oleh karenanya penegakan hukum mengenai tindak pidana penipuan ini masih dapat diakomodir oleh Kitab Undang-Undang Hukum Pidana dan Undang-Undang Nomor 19 Tahun 2016 tentang Perubahan atas Undang-Undang Nomor 11 Tahun 2008 tentang Informasi dan Transaksi Elektronik. Selanjutnya, Hambatan dalam penegakan hukum terhadap tindak pidana penipuan berbasis Transaksi elektronik masih dipengaruhi oleh lima faktor yaitu faktor hukum, faktor penegak hukum, faktor sarana atau fasilitas yang mendukung penegakan hukum, faktor masyarakat dan faktor kebudayaan.","author":[{"dropping-particle":"","family":"Rahmanto","given":"Tony Yuri","non-dropping-particle":"","parse-names":false,"suffix":""}],"container-title":"Jurnal Penelitian Hukum De Jure","id":"ITEM-1","issue":"1","issued":{"date-parts":[["2019"]]},"page":"31-52","title":"Penegakan Hukum terhadap Tindak Pidana Penipuan Berbasis Transaksi Elektronik","type":"article-journal","volume":"19"},"uris":["http://www.mendeley.com/documents/?uuid=074ddf0e-2dad-4198-b2e0-cfe8c973cbee"]}],"mendeley":{"formattedCitation":"Tony Yuri Rahmanto, “Penegakan Hukum Terhadap Tindak Pidana Penipuan Berbasis Transaksi Elektronik,” &lt;i&gt;Jurnal Penelitian Hukum De Jure&lt;/i&gt; 19, no. 1 (2019): 31–52, https://doi.org/10.30641/dejure.2019.v19.31-52.","plainTextFormattedCitation":"Tony Yuri Rahmanto, “Penegakan Hukum Terhadap Tindak Pidana Penipuan Berbasis Transaksi Elektronik,” Jurnal Penelitian Hukum De Jure 19, no. 1 (2019): 31–52, https://doi.org/10.30641/dejure.2019.v19.31-52.","previouslyFormattedCitation":"Tony Yuri Rahmanto, “Penegakan Hukum Terhadap Tindak Pidana Penipuan Berbasis Transaksi Elektronik,” &lt;i&gt;Jurnal Penelitian Hukum De Jure&lt;/i&gt; 19, no. 1 (2019): 31–52, https://doi.org/10.30641/dejure.2019.v19.31-52."},"properties":{"noteIndex":1},"schema":"https://github.com/citation-style-language/schema/raw/master/csl-citation.json"}</w:instrText>
      </w:r>
      <w:r w:rsidRPr="00441DB7">
        <w:rPr>
          <w:rFonts w:ascii="Times New Roman" w:hAnsi="Times New Roman" w:cs="Times New Roman"/>
          <w:sz w:val="18"/>
          <w:szCs w:val="18"/>
        </w:rPr>
        <w:fldChar w:fldCharType="separate"/>
      </w:r>
      <w:r w:rsidRPr="00441DB7">
        <w:rPr>
          <w:rFonts w:ascii="Times New Roman" w:hAnsi="Times New Roman" w:cs="Times New Roman"/>
          <w:noProof/>
          <w:sz w:val="18"/>
          <w:szCs w:val="18"/>
        </w:rPr>
        <w:t xml:space="preserve">Tony Yuri Rahmanto, “Penegakan Hukum Terhadap Tindak Pidana Penipuan Berbasis Transaksi Elektronik,” </w:t>
      </w:r>
      <w:r w:rsidRPr="00441DB7">
        <w:rPr>
          <w:rFonts w:ascii="Times New Roman" w:hAnsi="Times New Roman" w:cs="Times New Roman"/>
          <w:i/>
          <w:noProof/>
          <w:sz w:val="18"/>
          <w:szCs w:val="18"/>
        </w:rPr>
        <w:t>Jurnal Penelitian Hukum De Jure</w:t>
      </w:r>
      <w:r w:rsidRPr="00441DB7">
        <w:rPr>
          <w:rFonts w:ascii="Times New Roman" w:hAnsi="Times New Roman" w:cs="Times New Roman"/>
          <w:noProof/>
          <w:sz w:val="18"/>
          <w:szCs w:val="18"/>
        </w:rPr>
        <w:t xml:space="preserve"> 19, no. 1 (2019): 31–52, https://doi.org/10.30641/dejure.2019.v19.31-52.</w:t>
      </w:r>
      <w:r w:rsidRPr="00441DB7">
        <w:rPr>
          <w:rFonts w:ascii="Times New Roman" w:hAnsi="Times New Roman" w:cs="Times New Roman"/>
          <w:sz w:val="18"/>
          <w:szCs w:val="18"/>
        </w:rPr>
        <w:fldChar w:fldCharType="end"/>
      </w:r>
    </w:p>
  </w:footnote>
  <w:footnote w:id="2">
    <w:p w14:paraId="1CDB34DC" w14:textId="05AD6077" w:rsidR="00441DB7" w:rsidRDefault="00441DB7" w:rsidP="00441DB7">
      <w:pPr>
        <w:pStyle w:val="FootnoteText"/>
        <w:ind w:left="720" w:hanging="720"/>
      </w:pPr>
      <w:r>
        <w:rPr>
          <w:rStyle w:val="FootnoteReference"/>
        </w:rPr>
        <w:footnoteRef/>
      </w:r>
      <w:r>
        <w:t xml:space="preserve"> </w:t>
      </w:r>
      <w:r w:rsidRPr="00441DB7">
        <w:rPr>
          <w:rFonts w:ascii="Times New Roman" w:hAnsi="Times New Roman" w:cs="Times New Roman"/>
          <w:sz w:val="18"/>
          <w:szCs w:val="18"/>
        </w:rPr>
        <w:fldChar w:fldCharType="begin" w:fldLock="1"/>
      </w:r>
      <w:r w:rsidR="0076407F">
        <w:rPr>
          <w:rFonts w:ascii="Times New Roman" w:hAnsi="Times New Roman" w:cs="Times New Roman"/>
          <w:sz w:val="18"/>
          <w:szCs w:val="18"/>
        </w:rPr>
        <w:instrText>ADDIN CSL_CITATION {"citationItems":[{"id":"ITEM-1","itemData":{"DOI":"http://dx.doi.org/10.26532/jh.v35i1.11044","abstract":"ΕΙΣ ΤΟΝ ΑΙΩΝΑ","author":[{"dropping-particle":"","family":"Laksana","given":"Andri Winjaya","non-dropping-particle":"","parse-names":false,"suffix":""}],"container-title":"Jurnal Hukum Unissula","id":"ITEM-1","issue":"1","issued":{"date-parts":[["2019"]]},"page":"52-76","title":"Pemidanaan Cybercrime Dalam Perspektif Hukum Pidana Positif","type":"article-journal","volume":"35"},"uris":["http://www.mendeley.com/documents/?uuid=d1ded4b4-c4d8-4845-97aa-5c657945662a"]}],"mendeley":{"formattedCitation":"Andri Winjaya Laksana, “Pemidanaan Cybercrime Dalam Perspektif Hukum Pidana Positif,” &lt;i&gt;Jurnal Hukum Unissula&lt;/i&gt; 35, no. 1 (2019): 52–76, https://doi.org/http://dx.doi.org/10.26532/jh.v35i1.11044.","plainTextFormattedCitation":"Andri Winjaya Laksana, “Pemidanaan Cybercrime Dalam Perspektif Hukum Pidana Positif,” Jurnal Hukum Unissula 35, no. 1 (2019): 52–76, https://doi.org/http://dx.doi.org/10.26532/jh.v35i1.11044.","previouslyFormattedCitation":"Andri Winjaya Laksana, “Pemidanaan Cybercrime Dalam Perspektif Hukum Pidana Positif,” &lt;i&gt;Jurnal Hukum Unissula&lt;/i&gt; 35, no. 1 (2019): 52–76, https://doi.org/http://dx.doi.org/10.26532/jh.v35i1.11044."},"properties":{"noteIndex":2},"schema":"https://github.com/citation-style-language/schema/raw/master/csl-citation.json"}</w:instrText>
      </w:r>
      <w:r w:rsidRPr="00441DB7">
        <w:rPr>
          <w:rFonts w:ascii="Times New Roman" w:hAnsi="Times New Roman" w:cs="Times New Roman"/>
          <w:sz w:val="18"/>
          <w:szCs w:val="18"/>
        </w:rPr>
        <w:fldChar w:fldCharType="separate"/>
      </w:r>
      <w:r w:rsidRPr="00441DB7">
        <w:rPr>
          <w:rFonts w:ascii="Times New Roman" w:hAnsi="Times New Roman" w:cs="Times New Roman"/>
          <w:noProof/>
          <w:sz w:val="18"/>
          <w:szCs w:val="18"/>
        </w:rPr>
        <w:t xml:space="preserve">Andri Winjaya Laksana, “Pemidanaan Cybercrime Dalam Perspektif Hukum Pidana Positif,” </w:t>
      </w:r>
      <w:r w:rsidRPr="00441DB7">
        <w:rPr>
          <w:rFonts w:ascii="Times New Roman" w:hAnsi="Times New Roman" w:cs="Times New Roman"/>
          <w:i/>
          <w:noProof/>
          <w:sz w:val="18"/>
          <w:szCs w:val="18"/>
        </w:rPr>
        <w:t>Jurnal Hukum Unissula</w:t>
      </w:r>
      <w:r w:rsidRPr="00441DB7">
        <w:rPr>
          <w:rFonts w:ascii="Times New Roman" w:hAnsi="Times New Roman" w:cs="Times New Roman"/>
          <w:noProof/>
          <w:sz w:val="18"/>
          <w:szCs w:val="18"/>
        </w:rPr>
        <w:t xml:space="preserve"> 35, no. 1 (2019): 52–76, https://doi.org/http://dx.doi.org/10.26532/jh.v35i1.11044.</w:t>
      </w:r>
      <w:r w:rsidRPr="00441DB7">
        <w:rPr>
          <w:rFonts w:ascii="Times New Roman" w:hAnsi="Times New Roman" w:cs="Times New Roman"/>
          <w:sz w:val="18"/>
          <w:szCs w:val="18"/>
        </w:rPr>
        <w:fldChar w:fldCharType="end"/>
      </w:r>
    </w:p>
  </w:footnote>
  <w:footnote w:id="3">
    <w:p w14:paraId="46A3BFA5" w14:textId="1F3E8F2B" w:rsidR="0076407F" w:rsidRDefault="0076407F" w:rsidP="0076407F">
      <w:pPr>
        <w:pStyle w:val="FootnoteText"/>
        <w:ind w:left="720" w:hanging="720"/>
        <w:jc w:val="both"/>
      </w:pPr>
      <w:r>
        <w:rPr>
          <w:rStyle w:val="FootnoteReference"/>
        </w:rPr>
        <w:footnoteRef/>
      </w:r>
      <w:r>
        <w:t xml:space="preserve"> </w:t>
      </w:r>
      <w:r w:rsidRPr="0076407F">
        <w:rPr>
          <w:rFonts w:ascii="Times New Roman" w:hAnsi="Times New Roman" w:cs="Times New Roman"/>
          <w:sz w:val="18"/>
          <w:szCs w:val="18"/>
        </w:rPr>
        <w:fldChar w:fldCharType="begin" w:fldLock="1"/>
      </w:r>
      <w:r>
        <w:rPr>
          <w:rFonts w:ascii="Times New Roman" w:hAnsi="Times New Roman" w:cs="Times New Roman"/>
          <w:sz w:val="18"/>
          <w:szCs w:val="18"/>
        </w:rPr>
        <w:instrText>ADDIN CSL_CITATION {"citationItems":[{"id":"ITEM-1","itemData":{"DOI":"https://doi.org/10.31316/jk.v6i1.2947","ISSN":"2723-2328","abstract":"Abstrak Fakta hukum sebagaimana yang ada pada saat ini, dampak perkembangan ilmu pengetahuan dan teknologi yang telah disalahgunakan sebagai sarana kejahatan ini menjadi teramat penting untuk diantisipasi bagaimana kebijakan hukumnya, sehingga cyber crime yang terjadi dapat dilakukan upaya penanggulangannya dengan hukum pidana, termasuk dalam hal ini adalah mengenai sistem pembuktiannya. Dikatakan teramat penting karena dalam penegakan hukum pidana dasar pembenaran seseorang dapat dikatakan bersalah atau tidak melakukan tindak pidana. Abstract Legal facts as they exist today, the impact The development of science and technology that has been misused as a means of crime is very important to anticipate what is the legal policy, so that cyber crime that occurs can be efforts to overcome them are carried out with criminal law, including in this case it is about the proof system. Said to be very important because in criminal law enforcement the basic justification A person can be said to be guilty or not committing a crime.","author":[{"dropping-particle":"","family":"Aldriano","given":"Muhammad Anthony","non-dropping-particle":"","parse-names":false,"suffix":""},{"dropping-particle":"","family":"Priyambodo","given":"Mas Agus","non-dropping-particle":"","parse-names":false,"suffix":""}],"container-title":"Jurnal Kewarganegaraan","id":"ITEM-1","issue":"1","issued":{"date-parts":[["2022"]]},"page":"2169-2175","title":"Cyber Crime Dalam Sudut Pandang Hukum Pidana","type":"article-journal","volume":"6"},"uris":["http://www.mendeley.com/documents/?uuid=1f8b1eb9-a315-4a24-a714-06ad3d1a4745"]}],"mendeley":{"formattedCitation":"Muhammad Anthony Aldriano and Mas Agus Priyambodo, “Cyber Crime Dalam Sudut Pandang Hukum Pidana,” &lt;i&gt;Jurnal Kewarganegaraan&lt;/i&gt; 6, no. 1 (2022): 2169–75, https://doi.org/https://doi.org/10.31316/jk.v6i1.2947.","plainTextFormattedCitation":"Muhammad Anthony Aldriano and Mas Agus Priyambodo, “Cyber Crime Dalam Sudut Pandang Hukum Pidana,” Jurnal Kewarganegaraan 6, no. 1 (2022): 2169–75, https://doi.org/https://doi.org/10.31316/jk.v6i1.2947.","previouslyFormattedCitation":"Muhammad Anthony Aldriano and Mas Agus Priyambodo, “Cyber Crime Dalam Sudut Pandang Hukum Pidana,” &lt;i&gt;Jurnal Kewarganegaraan&lt;/i&gt; 6, no. 1 (2022): 2169–75, https://doi.org/https://doi.org/10.31316/jk.v6i1.2947."},"properties":{"noteIndex":3},"schema":"https://github.com/citation-style-language/schema/raw/master/csl-citation.json"}</w:instrText>
      </w:r>
      <w:r w:rsidRPr="0076407F">
        <w:rPr>
          <w:rFonts w:ascii="Times New Roman" w:hAnsi="Times New Roman" w:cs="Times New Roman"/>
          <w:sz w:val="18"/>
          <w:szCs w:val="18"/>
        </w:rPr>
        <w:fldChar w:fldCharType="separate"/>
      </w:r>
      <w:r w:rsidRPr="0076407F">
        <w:rPr>
          <w:rFonts w:ascii="Times New Roman" w:hAnsi="Times New Roman" w:cs="Times New Roman"/>
          <w:noProof/>
          <w:sz w:val="18"/>
          <w:szCs w:val="18"/>
        </w:rPr>
        <w:t xml:space="preserve">Muhammad Anthony Aldriano and Mas Agus Priyambodo, “Cyber Crime Dalam Sudut Pandang Hukum Pidana,” </w:t>
      </w:r>
      <w:r w:rsidRPr="0076407F">
        <w:rPr>
          <w:rFonts w:ascii="Times New Roman" w:hAnsi="Times New Roman" w:cs="Times New Roman"/>
          <w:i/>
          <w:noProof/>
          <w:sz w:val="18"/>
          <w:szCs w:val="18"/>
        </w:rPr>
        <w:t>Jurnal Kewarganegaraan</w:t>
      </w:r>
      <w:r w:rsidRPr="0076407F">
        <w:rPr>
          <w:rFonts w:ascii="Times New Roman" w:hAnsi="Times New Roman" w:cs="Times New Roman"/>
          <w:noProof/>
          <w:sz w:val="18"/>
          <w:szCs w:val="18"/>
        </w:rPr>
        <w:t xml:space="preserve"> 6, no. 1 (2022): 2169–75, https://doi.org/https://doi.org/10.31316/jk.v6i1.2947.</w:t>
      </w:r>
      <w:r w:rsidRPr="0076407F">
        <w:rPr>
          <w:rFonts w:ascii="Times New Roman" w:hAnsi="Times New Roman" w:cs="Times New Roman"/>
          <w:sz w:val="18"/>
          <w:szCs w:val="18"/>
        </w:rPr>
        <w:fldChar w:fldCharType="end"/>
      </w:r>
    </w:p>
  </w:footnote>
  <w:footnote w:id="4">
    <w:p w14:paraId="2F1C8BCD" w14:textId="3E0C7B5F" w:rsidR="0076407F" w:rsidRDefault="0076407F" w:rsidP="0076407F">
      <w:pPr>
        <w:pStyle w:val="FootnoteText"/>
        <w:ind w:left="720" w:hanging="720"/>
        <w:jc w:val="both"/>
      </w:pPr>
      <w:r>
        <w:rPr>
          <w:rStyle w:val="FootnoteReference"/>
        </w:rPr>
        <w:footnoteRef/>
      </w:r>
      <w:r>
        <w:t xml:space="preserve"> </w:t>
      </w:r>
      <w:r w:rsidRPr="0076407F">
        <w:rPr>
          <w:rFonts w:ascii="Times New Roman" w:hAnsi="Times New Roman" w:cs="Times New Roman"/>
          <w:sz w:val="18"/>
          <w:szCs w:val="18"/>
        </w:rPr>
        <w:fldChar w:fldCharType="begin" w:fldLock="1"/>
      </w:r>
      <w:r w:rsidR="0041437A">
        <w:rPr>
          <w:rFonts w:ascii="Times New Roman" w:hAnsi="Times New Roman" w:cs="Times New Roman"/>
          <w:sz w:val="18"/>
          <w:szCs w:val="18"/>
        </w:rPr>
        <w:instrText>ADDIN CSL_CITATION {"citationItems":[{"id":"ITEM-1","itemData":{"author":[{"dropping-particle":"","family":"Widodo","given":"","non-dropping-particle":"","parse-names":false,"suffix":""}],"id":"ITEM-1","issued":{"date-parts":[["2013"]]},"title":"Memerangi Cybercrime Karateristik, Motivasi, dan Strategi Penanganannya dalam Prespektif Kriminologi.","type":"book"},"uris":["http://www.mendeley.com/documents/?uuid=15d1d478-cf58-4568-80ae-a12ad5b7096e"]}],"mendeley":{"formattedCitation":"Widodo, &lt;i&gt;Memerangi Cybercrime Karateristik, Motivasi, Dan Strategi Penanganannya Dalam Prespektif Kriminologi.&lt;/i&gt;, 2013.","plainTextFormattedCitation":"Widodo, Memerangi Cybercrime Karateristik, Motivasi, Dan Strategi Penanganannya Dalam Prespektif Kriminologi., 2013.","previouslyFormattedCitation":"Widodo, &lt;i&gt;Memerangi Cybercrime Karateristik, Motivasi, Dan Strategi Penanganannya Dalam Prespektif Kriminologi.&lt;/i&gt;, 2013."},"properties":{"noteIndex":4},"schema":"https://github.com/citation-style-language/schema/raw/master/csl-citation.json"}</w:instrText>
      </w:r>
      <w:r w:rsidRPr="0076407F">
        <w:rPr>
          <w:rFonts w:ascii="Times New Roman" w:hAnsi="Times New Roman" w:cs="Times New Roman"/>
          <w:sz w:val="18"/>
          <w:szCs w:val="18"/>
        </w:rPr>
        <w:fldChar w:fldCharType="separate"/>
      </w:r>
      <w:r w:rsidRPr="0076407F">
        <w:rPr>
          <w:rFonts w:ascii="Times New Roman" w:hAnsi="Times New Roman" w:cs="Times New Roman"/>
          <w:noProof/>
          <w:sz w:val="18"/>
          <w:szCs w:val="18"/>
        </w:rPr>
        <w:t xml:space="preserve">Widodo, </w:t>
      </w:r>
      <w:r w:rsidRPr="0076407F">
        <w:rPr>
          <w:rFonts w:ascii="Times New Roman" w:hAnsi="Times New Roman" w:cs="Times New Roman"/>
          <w:i/>
          <w:noProof/>
          <w:sz w:val="18"/>
          <w:szCs w:val="18"/>
        </w:rPr>
        <w:t>Memerangi Cybercrime Karateristik, Motivasi, Dan Strategi Penanganannya Dalam Prespektif Kriminologi.</w:t>
      </w:r>
      <w:r w:rsidRPr="0076407F">
        <w:rPr>
          <w:rFonts w:ascii="Times New Roman" w:hAnsi="Times New Roman" w:cs="Times New Roman"/>
          <w:noProof/>
          <w:sz w:val="18"/>
          <w:szCs w:val="18"/>
        </w:rPr>
        <w:t>, 2013.</w:t>
      </w:r>
      <w:r w:rsidRPr="0076407F">
        <w:rPr>
          <w:rFonts w:ascii="Times New Roman" w:hAnsi="Times New Roman" w:cs="Times New Roman"/>
          <w:sz w:val="18"/>
          <w:szCs w:val="18"/>
        </w:rPr>
        <w:fldChar w:fldCharType="end"/>
      </w:r>
    </w:p>
  </w:footnote>
  <w:footnote w:id="5">
    <w:p w14:paraId="088B16BC" w14:textId="37CE1AE0" w:rsidR="0041437A" w:rsidRDefault="0041437A" w:rsidP="0041437A">
      <w:pPr>
        <w:pStyle w:val="FootnoteText"/>
        <w:jc w:val="both"/>
      </w:pPr>
      <w:r>
        <w:rPr>
          <w:rStyle w:val="FootnoteReference"/>
        </w:rPr>
        <w:footnoteRef/>
      </w:r>
      <w:r>
        <w:t xml:space="preserve"> </w:t>
      </w:r>
      <w:r w:rsidRPr="0041437A">
        <w:rPr>
          <w:rFonts w:ascii="Times New Roman" w:hAnsi="Times New Roman" w:cs="Times New Roman"/>
          <w:sz w:val="18"/>
          <w:szCs w:val="18"/>
        </w:rPr>
        <w:fldChar w:fldCharType="begin" w:fldLock="1"/>
      </w:r>
      <w:r w:rsidR="00C40302">
        <w:rPr>
          <w:rFonts w:ascii="Times New Roman" w:hAnsi="Times New Roman" w:cs="Times New Roman"/>
          <w:sz w:val="18"/>
          <w:szCs w:val="18"/>
        </w:rPr>
        <w:instrText>ADDIN CSL_CITATION {"citationItems":[{"id":"ITEM-1","itemData":{"author":[{"dropping-particle":"","family":"Sunarso","given":"Siswanto","non-dropping-particle":"","parse-names":false,"suffix":""}],"id":"ITEM-1","issued":{"date-parts":[["2009"]]},"title":"Hukum Informasi Dan Transaksi Elektronik, Studi Kasus: Prita Mulyasari","type":"book"},"uris":["http://www.mendeley.com/documents/?uuid=062e2a5c-0f94-40d2-9574-f3f4bdf4fd3d"]}],"mendeley":{"formattedCitation":"Siswanto Sunarso, &lt;i&gt;Hukum Informasi Dan Transaksi Elektronik, Studi Kasus: Prita Mulyasari&lt;/i&gt;, 2009.","plainTextFormattedCitation":"Siswanto Sunarso, Hukum Informasi Dan Transaksi Elektronik, Studi Kasus: Prita Mulyasari, 2009.","previouslyFormattedCitation":"Siswanto Sunarso, &lt;i&gt;Hukum Informasi Dan Transaksi Elektronik, Studi Kasus: Prita Mulyasari&lt;/i&gt;, 2009."},"properties":{"noteIndex":5},"schema":"https://github.com/citation-style-language/schema/raw/master/csl-citation.json"}</w:instrText>
      </w:r>
      <w:r w:rsidRPr="0041437A">
        <w:rPr>
          <w:rFonts w:ascii="Times New Roman" w:hAnsi="Times New Roman" w:cs="Times New Roman"/>
          <w:sz w:val="18"/>
          <w:szCs w:val="18"/>
        </w:rPr>
        <w:fldChar w:fldCharType="separate"/>
      </w:r>
      <w:r w:rsidRPr="0041437A">
        <w:rPr>
          <w:rFonts w:ascii="Times New Roman" w:hAnsi="Times New Roman" w:cs="Times New Roman"/>
          <w:noProof/>
          <w:sz w:val="18"/>
          <w:szCs w:val="18"/>
        </w:rPr>
        <w:t xml:space="preserve">Siswanto Sunarso, </w:t>
      </w:r>
      <w:r w:rsidRPr="0041437A">
        <w:rPr>
          <w:rFonts w:ascii="Times New Roman" w:hAnsi="Times New Roman" w:cs="Times New Roman"/>
          <w:i/>
          <w:noProof/>
          <w:sz w:val="18"/>
          <w:szCs w:val="18"/>
        </w:rPr>
        <w:t>Hukum Informasi Dan Transaksi Elektronik, Studi Kasus: Prita Mulyasari</w:t>
      </w:r>
      <w:r w:rsidRPr="0041437A">
        <w:rPr>
          <w:rFonts w:ascii="Times New Roman" w:hAnsi="Times New Roman" w:cs="Times New Roman"/>
          <w:noProof/>
          <w:sz w:val="18"/>
          <w:szCs w:val="18"/>
        </w:rPr>
        <w:t>, 2009.</w:t>
      </w:r>
      <w:r w:rsidRPr="0041437A">
        <w:rPr>
          <w:rFonts w:ascii="Times New Roman" w:hAnsi="Times New Roman" w:cs="Times New Roman"/>
          <w:sz w:val="18"/>
          <w:szCs w:val="18"/>
        </w:rPr>
        <w:fldChar w:fldCharType="end"/>
      </w:r>
    </w:p>
  </w:footnote>
  <w:footnote w:id="6">
    <w:p w14:paraId="67FB8209" w14:textId="4DD39CF2" w:rsidR="00C40302" w:rsidRDefault="00C40302" w:rsidP="00C40302">
      <w:pPr>
        <w:pStyle w:val="FootnoteText"/>
        <w:ind w:left="720" w:hanging="720"/>
        <w:jc w:val="both"/>
      </w:pPr>
      <w:r>
        <w:rPr>
          <w:rStyle w:val="FootnoteReference"/>
        </w:rPr>
        <w:footnoteRef/>
      </w:r>
      <w:r>
        <w:t xml:space="preserve"> </w:t>
      </w:r>
      <w:r w:rsidRPr="00C40302">
        <w:rPr>
          <w:rFonts w:ascii="Times New Roman" w:hAnsi="Times New Roman" w:cs="Times New Roman"/>
          <w:sz w:val="18"/>
          <w:szCs w:val="18"/>
        </w:rPr>
        <w:fldChar w:fldCharType="begin" w:fldLock="1"/>
      </w:r>
      <w:r w:rsidR="00FD0691">
        <w:rPr>
          <w:rFonts w:ascii="Times New Roman" w:hAnsi="Times New Roman" w:cs="Times New Roman"/>
          <w:sz w:val="18"/>
          <w:szCs w:val="18"/>
        </w:rPr>
        <w:instrText>ADDIN CSL_CITATION {"citationItems":[{"id":"ITEM-1","itemData":{"ISSN":"2459-993X","abstract":"Phishing merupakan suatu bentuk kegiatan yang bersifat mengancam atau menjebak seseorang dengan konsep memancing orang tersebut. Yaitu dengan menipu seseorang sehingga orang tersebut secara tidak langsung memberikan semua informasi yang di butuhkan oleh sang penjebak. Phishing termasuk dalam kejahatan siber. Dimana sekarang ini marak terjadi tindak kriminal melalui jaringan komputer. Seiring perkembangan zaman, tindak kriminal juga semakin merebak di seluruh dunia. Sehingga ancaman yang banyak terjadi saat ini juga melalui komputer. Sosial media merupakan tempat dimana orang-orang dapat berhubungan dari jarak jauh, juga tempat untuk mendapatkan informasi secara cepat. Hampir semua orang di penjuru dunia menggunakan sosial media. Sehingga para aktivis kejahatan siber sangat memanfaatkan kesempatan itu untuk melakukan aksinya terhadap pengguna sosial media. Kemudian mereka melakukan serangan dengan berbagai cara yang salah satunya adalah phishing itu sendiri. Dalam sosial media, phishing bisa di lakukan dengan cara menjebak sang pengguna melalui link yang begitu meyakinkan, juga bisa dengan mengirimkan via email. Saat pengguna sedang lengah dan tidak sengaja meng-klik alamat tersebut, maka seluruh data yang ada di akunnya akan terbaca dan di curi. Selain itu juga phishing mengancam para pengguna nasabah bank. Setiap ancaman, pasti ada jalan keluarnya. Banyak sekali antisipasi-antisipasi untuk mencegah serangan phishing. Pada jurnal ini nantinya akan dibahas beberapa cara menanggulangi phishing pada sosial media yang paling umum digunakan. Berdasarkan hasil survey dari beberapa jurnal, website merupakan sumber ancaman phishing yang sering terjadi dan cara pencegahannya dengan cara self-efficacy.","author":[{"dropping-particle":"","family":"Wibowo","given":"Mia Haryati","non-dropping-particle":"","parse-names":false,"suffix":""},{"dropping-particle":"","family":"Fatimah","given":"Nur","non-dropping-particle":"","parse-names":false,"suffix":""}],"container-title":"JoEICT (Journal of Education And ICT)","id":"ITEM-1","issue":"1","issued":{"date-parts":[["2017"]]},"page":"1-5","title":"Ancaman Phishing Terhadap Pengguna Sosial Media dalam Dunia Cyber Crime","type":"article-journal","volume":"1"},"uris":["http://www.mendeley.com/documents/?uuid=cb7af812-eb14-4cd0-8748-54959a0b3191"]}],"mendeley":{"formattedCitation":"Mia Haryati Wibowo and Nur Fatimah, “Ancaman Phishing Terhadap Pengguna Sosial Media Dalam Dunia Cyber Crime,” &lt;i&gt;JoEICT (Journal of Education And ICT)&lt;/i&gt; 1, no. 1 (2017): 1–5, https://jurnal.stkippgritulungagung.ac.id/index.php/joeict/article/view/69.","plainTextFormattedCitation":"Mia Haryati Wibowo and Nur Fatimah, “Ancaman Phishing Terhadap Pengguna Sosial Media Dalam Dunia Cyber Crime,” JoEICT (Journal of Education And ICT) 1, no. 1 (2017): 1–5, https://jurnal.stkippgritulungagung.ac.id/index.php/joeict/article/view/69.","previouslyFormattedCitation":"Mia Haryati Wibowo and Nur Fatimah, “Ancaman Phishing Terhadap Pengguna Sosial Media Dalam Dunia Cyber Crime,” &lt;i&gt;JoEICT (Journal of Education And ICT)&lt;/i&gt; 1, no. 1 (2017): 1–5, https://jurnal.stkippgritulungagung.ac.id/index.php/joeict/article/view/69."},"properties":{"noteIndex":6},"schema":"https://github.com/citation-style-language/schema/raw/master/csl-citation.json"}</w:instrText>
      </w:r>
      <w:r w:rsidRPr="00C40302">
        <w:rPr>
          <w:rFonts w:ascii="Times New Roman" w:hAnsi="Times New Roman" w:cs="Times New Roman"/>
          <w:sz w:val="18"/>
          <w:szCs w:val="18"/>
        </w:rPr>
        <w:fldChar w:fldCharType="separate"/>
      </w:r>
      <w:r w:rsidRPr="00C40302">
        <w:rPr>
          <w:rFonts w:ascii="Times New Roman" w:hAnsi="Times New Roman" w:cs="Times New Roman"/>
          <w:noProof/>
          <w:sz w:val="18"/>
          <w:szCs w:val="18"/>
        </w:rPr>
        <w:t xml:space="preserve">Mia Haryati Wibowo and Nur Fatimah, “Ancaman Phishing Terhadap Pengguna Sosial Media Dalam Dunia Cyber Crime,” </w:t>
      </w:r>
      <w:r w:rsidRPr="00C40302">
        <w:rPr>
          <w:rFonts w:ascii="Times New Roman" w:hAnsi="Times New Roman" w:cs="Times New Roman"/>
          <w:i/>
          <w:noProof/>
          <w:sz w:val="18"/>
          <w:szCs w:val="18"/>
        </w:rPr>
        <w:t>JoEICT (Journal of Education And ICT)</w:t>
      </w:r>
      <w:r w:rsidRPr="00C40302">
        <w:rPr>
          <w:rFonts w:ascii="Times New Roman" w:hAnsi="Times New Roman" w:cs="Times New Roman"/>
          <w:noProof/>
          <w:sz w:val="18"/>
          <w:szCs w:val="18"/>
        </w:rPr>
        <w:t xml:space="preserve"> 1, no. 1 (2017): 1–5, https://jurnal.stkippgritulungagung.ac.id/index.php/joeict/article/view/69.</w:t>
      </w:r>
      <w:r w:rsidRPr="00C40302">
        <w:rPr>
          <w:rFonts w:ascii="Times New Roman" w:hAnsi="Times New Roman" w:cs="Times New Roman"/>
          <w:sz w:val="18"/>
          <w:szCs w:val="18"/>
        </w:rPr>
        <w:fldChar w:fldCharType="end"/>
      </w:r>
    </w:p>
  </w:footnote>
  <w:footnote w:id="7">
    <w:p w14:paraId="6BABD9E4" w14:textId="4361A631" w:rsidR="00FD0691" w:rsidRDefault="00FD0691" w:rsidP="00FD0691">
      <w:pPr>
        <w:pStyle w:val="FootnoteText"/>
        <w:ind w:left="720" w:hanging="720"/>
      </w:pPr>
      <w:r>
        <w:rPr>
          <w:rStyle w:val="FootnoteReference"/>
        </w:rPr>
        <w:footnoteRef/>
      </w:r>
      <w:r>
        <w:t xml:space="preserve"> </w:t>
      </w:r>
      <w:r w:rsidRPr="00FD0691">
        <w:rPr>
          <w:rFonts w:ascii="Times New Roman" w:hAnsi="Times New Roman" w:cs="Times New Roman"/>
          <w:sz w:val="18"/>
          <w:szCs w:val="18"/>
        </w:rPr>
        <w:fldChar w:fldCharType="begin" w:fldLock="1"/>
      </w:r>
      <w:r w:rsidR="001F7720">
        <w:rPr>
          <w:rFonts w:ascii="Times New Roman" w:hAnsi="Times New Roman" w:cs="Times New Roman"/>
          <w:sz w:val="18"/>
          <w:szCs w:val="18"/>
        </w:rPr>
        <w:instrText>ADDIN CSL_CITATION {"citationItems":[{"id":"ITEM-1","itemData":{"author":[{"dropping-particle":"","family":"Wahid","given":"Abdul","non-dropping-particle":"","parse-names":false,"suffix":""},{"dropping-particle":"","family":"Labib","given":"Mohammad","non-dropping-particle":"","parse-names":false,"suffix":""}],"id":"ITEM-1","issued":{"date-parts":[["2010"]]},"publisher":"pt refika aditama","publisher-place":"Bandung","title":"Kejahatan Mayantara (Cyber Crime)","type":"book"},"uris":["http://www.mendeley.com/documents/?uuid=79d101bf-0f3f-4b60-aaff-d1d503422a4e"]}],"mendeley":{"formattedCitation":"Abdul Wahid and Mohammad Labib, &lt;i&gt;Kejahatan Mayantara (Cyber Crime)&lt;/i&gt; (Bandung: pt refika aditama, 2010).","plainTextFormattedCitation":"Abdul Wahid and Mohammad Labib, Kejahatan Mayantara (Cyber Crime) (Bandung: pt refika aditama, 2010).","previouslyFormattedCitation":"Abdul Wahid and Mohammad Labib, &lt;i&gt;Kejahatan Mayantara (Cyber Crime)&lt;/i&gt; (Bandung: pt refika aditama, 2010)."},"properties":{"noteIndex":7},"schema":"https://github.com/citation-style-language/schema/raw/master/csl-citation.json"}</w:instrText>
      </w:r>
      <w:r w:rsidRPr="00FD0691">
        <w:rPr>
          <w:rFonts w:ascii="Times New Roman" w:hAnsi="Times New Roman" w:cs="Times New Roman"/>
          <w:sz w:val="18"/>
          <w:szCs w:val="18"/>
        </w:rPr>
        <w:fldChar w:fldCharType="separate"/>
      </w:r>
      <w:r w:rsidRPr="00FD0691">
        <w:rPr>
          <w:rFonts w:ascii="Times New Roman" w:hAnsi="Times New Roman" w:cs="Times New Roman"/>
          <w:noProof/>
          <w:sz w:val="18"/>
          <w:szCs w:val="18"/>
        </w:rPr>
        <w:t xml:space="preserve">Abdul Wahid and Mohammad Labib, </w:t>
      </w:r>
      <w:r w:rsidRPr="00FD0691">
        <w:rPr>
          <w:rFonts w:ascii="Times New Roman" w:hAnsi="Times New Roman" w:cs="Times New Roman"/>
          <w:i/>
          <w:noProof/>
          <w:sz w:val="18"/>
          <w:szCs w:val="18"/>
        </w:rPr>
        <w:t>Kejahatan Mayantara (Cyber Crime)</w:t>
      </w:r>
      <w:r w:rsidRPr="00FD0691">
        <w:rPr>
          <w:rFonts w:ascii="Times New Roman" w:hAnsi="Times New Roman" w:cs="Times New Roman"/>
          <w:noProof/>
          <w:sz w:val="18"/>
          <w:szCs w:val="18"/>
        </w:rPr>
        <w:t xml:space="preserve"> (Bandung: pt refika aditama, 2010).</w:t>
      </w:r>
      <w:r w:rsidRPr="00FD0691">
        <w:rPr>
          <w:rFonts w:ascii="Times New Roman" w:hAnsi="Times New Roman" w:cs="Times New Roman"/>
          <w:sz w:val="18"/>
          <w:szCs w:val="18"/>
        </w:rPr>
        <w:fldChar w:fldCharType="end"/>
      </w:r>
    </w:p>
  </w:footnote>
  <w:footnote w:id="8">
    <w:p w14:paraId="0C4E8E70" w14:textId="59202DAF" w:rsidR="001F7720" w:rsidRDefault="001F7720" w:rsidP="00EF7772">
      <w:pPr>
        <w:pStyle w:val="FootnoteText"/>
        <w:ind w:left="720" w:hanging="720"/>
        <w:jc w:val="both"/>
      </w:pPr>
      <w:r>
        <w:rPr>
          <w:rStyle w:val="FootnoteReference"/>
        </w:rPr>
        <w:footnoteRef/>
      </w:r>
      <w:r>
        <w:t xml:space="preserve"> </w:t>
      </w:r>
      <w:r w:rsidRPr="00EF7772">
        <w:rPr>
          <w:rFonts w:ascii="Times New Roman" w:hAnsi="Times New Roman" w:cs="Times New Roman"/>
          <w:sz w:val="18"/>
          <w:szCs w:val="18"/>
        </w:rPr>
        <w:fldChar w:fldCharType="begin" w:fldLock="1"/>
      </w:r>
      <w:r w:rsidRPr="00EF7772">
        <w:rPr>
          <w:rFonts w:ascii="Times New Roman" w:hAnsi="Times New Roman" w:cs="Times New Roman"/>
          <w:sz w:val="18"/>
          <w:szCs w:val="18"/>
        </w:rPr>
        <w:instrText>ADDIN CSL_CITATION {"citationItems":[{"id":"ITEM-1","itemData":{"DOI":"https://doi.org/10.22437/pampas.v1i2.9574","ISSN":"2721-7205","abstract":"ABSTRAK Artikel ini membahas cyber crime dalam bentuk phising berdasarkan Undang-Undang tentang Informasi dan Transaksi Elektronik. Penelitian yang digunakan yakni penelitian hukum normatif. Hasil penelitian yang telah dilakukan menunjukan: 1) Pengaturan hukum terhadap cyber crime dalam bentuk phising berdasarkan Undang-Undang tentang Informasi dan Transaksi Elektronik tidak dapat dikenakan Pasal 35 jo Pasal 51 Ayat (1) dan Pasal 28 Ayat (1) jo Pasal 45A Ayat (1). 2) Kebijakan hukum terhadap cyber crime dalam bentuk phising berdasarkan Undang-Undang tentang Informasi dan Transaksi Elektronik adalah dilakukannya perubahan terhadap Undang-Undang tentang ITE dengan merumuskan konsep phising dan merubah isi Pasal 35. ABSTRACT This article discusses cyber crime in the form of phishing based on the Law on Electronic Information and Transactions. The research used is normative legal research. The results of the research that have been conducted demonstrated that: 1) Legal regulations on cyber crime in the form of phishing based on the Law on Electronic Information and Transactions cannot be subject to Article 35 in conjunction with Article 51 Paragraph (1) and Article 28 Paragraph (1) in conjunction with Article 45A Paragraph ( 1). 2) the criminal law policy against cyber crime in the form of phishing based on the Law on Electronic Information and Transactions is the amendment of the Law on ITE by formulating the concept of phishing and amending the contents of Article 35.","author":[{"dropping-particle":"","family":"Gulo","given":"Ardi Saputra","non-dropping-particle":"","parse-names":false,"suffix":""},{"dropping-particle":"","family":"Lasmadi","given":"Sahuri","non-dropping-particle":"","parse-names":false,"suffix":""},{"dropping-particle":"","family":"Nawawi","given":"Khabib","non-dropping-particle":"","parse-names":false,"suffix":""}],"container-title":"PAMPAS: Journal of Criminal Law","id":"ITEM-1","issue":"2","issued":{"date-parts":[["2021"]]},"page":"68-81","title":"Cyber Crime dalam Bentuk Phising Berdasarkan Undang-Undang Informasi dan Transaksi Elektronik","type":"article-journal","volume":"1"},"uris":["http://www.mendeley.com/documents/?uuid=bffceaa5-9443-403f-b42b-5f3033628c78"]}],"mendeley":{"formattedCitation":"Ardi Saputra Gulo, Sahuri Lasmadi, and Khabib Nawawi, “Cyber Crime Dalam Bentuk Phising Berdasarkan Undang-Undang Informasi Dan Transaksi Elektronik,” &lt;i&gt;PAMPAS: Journal of Criminal Law&lt;/i&gt; 1, no. 2 (2021): 68–81, https://doi.org/https://doi.org/10.22437/pampas.v1i2.9574.","plainTextFormattedCitation":"Ardi Saputra Gulo, Sahuri Lasmadi, and Khabib Nawawi, “Cyber Crime Dalam Bentuk Phising Berdasarkan Undang-Undang Informasi Dan Transaksi Elektronik,” PAMPAS: Journal of Criminal Law 1, no. 2 (2021): 68–81, https://doi.org/https://doi.org/10.22437/pampas.v1i2.9574.","previouslyFormattedCitation":"Ardi Saputra Gulo, Sahuri Lasmadi, and Khabib Nawawi, “Cyber Crime Dalam Bentuk Phising Berdasarkan Undang-Undang Informasi Dan Transaksi Elektronik,” &lt;i&gt;PAMPAS: Journal of Criminal Law&lt;/i&gt; 1, no. 2 (2021): 68–81, https://doi.org/https://doi.org/10.22437/pampas.v1i2.9574."},"properties":{"noteIndex":8},"schema":"https://github.com/citation-style-language/schema/raw/master/csl-citation.json"}</w:instrText>
      </w:r>
      <w:r w:rsidRPr="00EF7772">
        <w:rPr>
          <w:rFonts w:ascii="Times New Roman" w:hAnsi="Times New Roman" w:cs="Times New Roman"/>
          <w:sz w:val="18"/>
          <w:szCs w:val="18"/>
        </w:rPr>
        <w:fldChar w:fldCharType="separate"/>
      </w:r>
      <w:r w:rsidRPr="00EF7772">
        <w:rPr>
          <w:rFonts w:ascii="Times New Roman" w:hAnsi="Times New Roman" w:cs="Times New Roman"/>
          <w:noProof/>
          <w:sz w:val="18"/>
          <w:szCs w:val="18"/>
        </w:rPr>
        <w:t xml:space="preserve">Ardi Saputra Gulo, Sahuri Lasmadi, and Khabib Nawawi, “Cyber Crime Dalam Bentuk Phising Berdasarkan Undang-Undang Informasi Dan Transaksi Elektronik,” </w:t>
      </w:r>
      <w:r w:rsidRPr="00EF7772">
        <w:rPr>
          <w:rFonts w:ascii="Times New Roman" w:hAnsi="Times New Roman" w:cs="Times New Roman"/>
          <w:i/>
          <w:noProof/>
          <w:sz w:val="18"/>
          <w:szCs w:val="18"/>
        </w:rPr>
        <w:t>PAMPAS: Journal of Criminal Law</w:t>
      </w:r>
      <w:r w:rsidRPr="00EF7772">
        <w:rPr>
          <w:rFonts w:ascii="Times New Roman" w:hAnsi="Times New Roman" w:cs="Times New Roman"/>
          <w:noProof/>
          <w:sz w:val="18"/>
          <w:szCs w:val="18"/>
        </w:rPr>
        <w:t xml:space="preserve"> 1, no. 2 (2021): 68–81, https://doi.org/https://doi.org/10.22437/pampas.v1i2.9574.</w:t>
      </w:r>
      <w:r w:rsidRPr="00EF7772">
        <w:rPr>
          <w:rFonts w:ascii="Times New Roman" w:hAnsi="Times New Roman" w:cs="Times New Roman"/>
          <w:sz w:val="18"/>
          <w:szCs w:val="18"/>
        </w:rPr>
        <w:fldChar w:fldCharType="end"/>
      </w:r>
    </w:p>
  </w:footnote>
  <w:footnote w:id="9">
    <w:p w14:paraId="4595A8B9" w14:textId="2127ECA8" w:rsidR="001F7720" w:rsidRDefault="001F7720" w:rsidP="00EF7772">
      <w:pPr>
        <w:pStyle w:val="FootnoteText"/>
        <w:ind w:left="720" w:hanging="720"/>
      </w:pPr>
      <w:r>
        <w:rPr>
          <w:rStyle w:val="FootnoteReference"/>
        </w:rPr>
        <w:footnoteRef/>
      </w:r>
      <w:r>
        <w:t xml:space="preserve"> </w:t>
      </w:r>
      <w:r w:rsidRPr="00EF7772">
        <w:rPr>
          <w:rFonts w:ascii="Times New Roman" w:hAnsi="Times New Roman" w:cs="Times New Roman"/>
          <w:sz w:val="18"/>
          <w:szCs w:val="18"/>
        </w:rPr>
        <w:fldChar w:fldCharType="begin" w:fldLock="1"/>
      </w:r>
      <w:r w:rsidR="00C9475E" w:rsidRPr="00EF7772">
        <w:rPr>
          <w:rFonts w:ascii="Times New Roman" w:hAnsi="Times New Roman" w:cs="Times New Roman"/>
          <w:sz w:val="18"/>
          <w:szCs w:val="18"/>
        </w:rPr>
        <w:instrText>ADDIN CSL_CITATION {"citationItems":[{"id":"ITEM-1","itemData":{"author":[{"dropping-particle":"","family":"Fasyadhiyaksa Putra Y","given":"Vikran","non-dropping-particle":"","parse-names":false,"suffix":""}],"container-title":"Jurist-Diction","id":"ITEM-1","issued":{"date-parts":[["2021"]]},"title":"Modus Operandi Tindak Pidana Phising Menurut UU ITE","type":"article-journal","volume":"4 no. 1"},"uris":["http://www.mendeley.com/documents/?uuid=512f73ba-c8a6-4604-97c2-26f6a6caa25d"]}],"mendeley":{"formattedCitation":"Vikran Fasyadhiyaksa Putra Y, “Modus Operandi Tindak Pidana Phising Menurut UU ITE,” &lt;i&gt;Jurist-Diction&lt;/i&gt; 4 no. 1 (2021).","plainTextFormattedCitation":"Vikran Fasyadhiyaksa Putra Y, “Modus Operandi Tindak Pidana Phising Menurut UU ITE,” Jurist-Diction 4 no. 1 (2021).","previouslyFormattedCitation":"Vikran Fasyadhiyaksa Putra Y, “Modus Operandi Tindak Pidana Phising Menurut UU ITE,” &lt;i&gt;Jurist-Diction&lt;/i&gt; 4 no. 1 (2021)."},"properties":{"noteIndex":9},"schema":"https://github.com/citation-style-language/schema/raw/master/csl-citation.json"}</w:instrText>
      </w:r>
      <w:r w:rsidRPr="00EF7772">
        <w:rPr>
          <w:rFonts w:ascii="Times New Roman" w:hAnsi="Times New Roman" w:cs="Times New Roman"/>
          <w:sz w:val="18"/>
          <w:szCs w:val="18"/>
        </w:rPr>
        <w:fldChar w:fldCharType="separate"/>
      </w:r>
      <w:r w:rsidRPr="00EF7772">
        <w:rPr>
          <w:rFonts w:ascii="Times New Roman" w:hAnsi="Times New Roman" w:cs="Times New Roman"/>
          <w:noProof/>
          <w:sz w:val="18"/>
          <w:szCs w:val="18"/>
        </w:rPr>
        <w:t xml:space="preserve">Vikran Fasyadhiyaksa Putra Y, “Modus Operandi Tindak Pidana Phising Menurut UU ITE,” </w:t>
      </w:r>
      <w:r w:rsidRPr="00EF7772">
        <w:rPr>
          <w:rFonts w:ascii="Times New Roman" w:hAnsi="Times New Roman" w:cs="Times New Roman"/>
          <w:i/>
          <w:noProof/>
          <w:sz w:val="18"/>
          <w:szCs w:val="18"/>
        </w:rPr>
        <w:t>Jurist-Diction</w:t>
      </w:r>
      <w:r w:rsidRPr="00EF7772">
        <w:rPr>
          <w:rFonts w:ascii="Times New Roman" w:hAnsi="Times New Roman" w:cs="Times New Roman"/>
          <w:noProof/>
          <w:sz w:val="18"/>
          <w:szCs w:val="18"/>
        </w:rPr>
        <w:t xml:space="preserve"> 4 no. 1 (2021).</w:t>
      </w:r>
      <w:r w:rsidRPr="00EF7772">
        <w:rPr>
          <w:rFonts w:ascii="Times New Roman" w:hAnsi="Times New Roman" w:cs="Times New Roman"/>
          <w:sz w:val="18"/>
          <w:szCs w:val="18"/>
        </w:rPr>
        <w:fldChar w:fldCharType="end"/>
      </w:r>
    </w:p>
  </w:footnote>
  <w:footnote w:id="10">
    <w:p w14:paraId="15A86517" w14:textId="2E3EBF3C" w:rsidR="00C9475E" w:rsidRDefault="00C9475E" w:rsidP="007A3A54">
      <w:pPr>
        <w:pStyle w:val="FootnoteText"/>
        <w:ind w:left="720" w:hanging="720"/>
        <w:jc w:val="both"/>
      </w:pPr>
      <w:r>
        <w:rPr>
          <w:rStyle w:val="FootnoteReference"/>
        </w:rPr>
        <w:footnoteRef/>
      </w:r>
      <w:r w:rsidRPr="00EF7772">
        <w:rPr>
          <w:rFonts w:ascii="Times New Roman" w:hAnsi="Times New Roman" w:cs="Times New Roman"/>
          <w:sz w:val="18"/>
          <w:szCs w:val="18"/>
        </w:rPr>
        <w:t xml:space="preserve"> </w:t>
      </w:r>
      <w:r w:rsidRPr="00EF7772">
        <w:rPr>
          <w:rFonts w:ascii="Times New Roman" w:hAnsi="Times New Roman" w:cs="Times New Roman"/>
          <w:sz w:val="18"/>
          <w:szCs w:val="18"/>
        </w:rPr>
        <w:fldChar w:fldCharType="begin" w:fldLock="1"/>
      </w:r>
      <w:r w:rsidR="00A82569">
        <w:rPr>
          <w:rFonts w:ascii="Times New Roman" w:hAnsi="Times New Roman" w:cs="Times New Roman"/>
          <w:sz w:val="18"/>
          <w:szCs w:val="18"/>
        </w:rPr>
        <w:instrText>ADDIN CSL_CITATION {"citationItems":[{"id":"ITEM-1","itemData":{"author":[{"dropping-particle":"","family":"Diniyah","given":"Khanifah Jannatul","non-dropping-particle":"","parse-names":false,"suffix":""}],"container-title":"jurnal ilmiah ilmu hukum dinamika","id":"ITEM-1","issue":"5","issued":{"date-parts":[["2022"]]},"title":"Perlindungan Hukum Bagi Korban Tindak Pidana Cyber Crime Phishing","type":"article-journal","volume":"28"},"uris":["http://www.mendeley.com/documents/?uuid=e5eb4e28-eb43-4c0d-8c88-fc7eb4afe6ce"]}],"mendeley":{"formattedCitation":"Khanifah Jannatul Diniyah, “Perlindungan Hukum Bagi Korban Tindak Pidana Cyber Crime Phishing,” &lt;i&gt;Jurnal Ilmiah Ilmu Hukum Dinamika&lt;/i&gt; 28, no. 5 (2022).","plainTextFormattedCitation":"Khanifah Jannatul Diniyah, “Perlindungan Hukum Bagi Korban Tindak Pidana Cyber Crime Phishing,” Jurnal Ilmiah Ilmu Hukum Dinamika 28, no. 5 (2022).","previouslyFormattedCitation":"Khanifah Jannatul Diniyah, “Perlindungan Hukum Bagi Korban Tindak Pidana Cyber Crime Phishing,” &lt;i&gt;Jurnal Ilmiah Ilmu Hukum Dinamika&lt;/i&gt; 28, no. 5 (2022)."},"properties":{"noteIndex":10},"schema":"https://github.com/citation-style-language/schema/raw/master/csl-citation.json"}</w:instrText>
      </w:r>
      <w:r w:rsidRPr="00EF7772">
        <w:rPr>
          <w:rFonts w:ascii="Times New Roman" w:hAnsi="Times New Roman" w:cs="Times New Roman"/>
          <w:sz w:val="18"/>
          <w:szCs w:val="18"/>
        </w:rPr>
        <w:fldChar w:fldCharType="separate"/>
      </w:r>
      <w:r w:rsidRPr="00EF7772">
        <w:rPr>
          <w:rFonts w:ascii="Times New Roman" w:hAnsi="Times New Roman" w:cs="Times New Roman"/>
          <w:noProof/>
          <w:sz w:val="18"/>
          <w:szCs w:val="18"/>
        </w:rPr>
        <w:t xml:space="preserve">Khanifah Jannatul Diniyah, “Perlindungan Hukum Bagi Korban Tindak Pidana Cyber Crime Phishing,” </w:t>
      </w:r>
      <w:r w:rsidRPr="00EF7772">
        <w:rPr>
          <w:rFonts w:ascii="Times New Roman" w:hAnsi="Times New Roman" w:cs="Times New Roman"/>
          <w:i/>
          <w:noProof/>
          <w:sz w:val="18"/>
          <w:szCs w:val="18"/>
        </w:rPr>
        <w:t>Jurnal Ilmiah Ilmu Hukum Dinamika</w:t>
      </w:r>
      <w:r w:rsidRPr="00EF7772">
        <w:rPr>
          <w:rFonts w:ascii="Times New Roman" w:hAnsi="Times New Roman" w:cs="Times New Roman"/>
          <w:noProof/>
          <w:sz w:val="18"/>
          <w:szCs w:val="18"/>
        </w:rPr>
        <w:t xml:space="preserve"> 28, no. 5 (2022).</w:t>
      </w:r>
      <w:r w:rsidRPr="00EF7772">
        <w:rPr>
          <w:rFonts w:ascii="Times New Roman" w:hAnsi="Times New Roman" w:cs="Times New Roman"/>
          <w:sz w:val="18"/>
          <w:szCs w:val="18"/>
        </w:rPr>
        <w:fldChar w:fldCharType="end"/>
      </w:r>
    </w:p>
  </w:footnote>
  <w:footnote w:id="11">
    <w:p w14:paraId="23619580" w14:textId="134B352A" w:rsidR="001A12EA" w:rsidRDefault="001A12EA" w:rsidP="001A12EA">
      <w:pPr>
        <w:pStyle w:val="FootnoteText"/>
        <w:jc w:val="both"/>
      </w:pPr>
      <w:r>
        <w:rPr>
          <w:rStyle w:val="FootnoteReference"/>
        </w:rPr>
        <w:footnoteRef/>
      </w:r>
      <w:r w:rsidRPr="00A072AA">
        <w:rPr>
          <w:rFonts w:ascii="Times New Roman" w:hAnsi="Times New Roman" w:cs="Times New Roman"/>
          <w:sz w:val="18"/>
          <w:szCs w:val="18"/>
        </w:rPr>
        <w:t xml:space="preserve"> </w:t>
      </w:r>
      <w:r w:rsidRPr="00A072AA">
        <w:rPr>
          <w:rFonts w:ascii="Times New Roman" w:hAnsi="Times New Roman" w:cs="Times New Roman"/>
          <w:sz w:val="18"/>
          <w:szCs w:val="18"/>
        </w:rPr>
        <w:fldChar w:fldCharType="begin" w:fldLock="1"/>
      </w:r>
      <w:r w:rsidR="00441DB7">
        <w:rPr>
          <w:rFonts w:ascii="Times New Roman" w:hAnsi="Times New Roman" w:cs="Times New Roman"/>
          <w:sz w:val="18"/>
          <w:szCs w:val="18"/>
        </w:rPr>
        <w:instrText>ADDIN CSL_CITATION {"citationItems":[{"id":"ITEM-1","itemData":{"author":[{"dropping-particle":"","family":"Butarbutar","given":"Elisabeth Nurhaini","non-dropping-particle":"","parse-names":false,"suffix":""}],"id":"ITEM-1","issued":{"date-parts":[["2018"]]},"publisher":"refika aditama","publisher-place":"Bandung","title":"Metode Penelitian Hukum","type":"book"},"uris":["http://www.mendeley.com/documents/?uuid=c657ddd6-263e-457d-a47a-c32591438c2d"]}],"mendeley":{"formattedCitation":"Elisabeth Nurhaini Butarbutar, &lt;i&gt;Metode Penelitian Hukum&lt;/i&gt; (Bandung: refika aditama, 2018).","plainTextFormattedCitation":"Elisabeth Nurhaini Butarbutar, Metode Penelitian Hukum (Bandung: refika aditama, 2018).","previouslyFormattedCitation":"Elisabeth Nurhaini Butarbutar, &lt;i&gt;Metode Penelitian Hukum&lt;/i&gt; (Bandung: refika aditama, 2018)."},"properties":{"noteIndex":11},"schema":"https://github.com/citation-style-language/schema/raw/master/csl-citation.json"}</w:instrText>
      </w:r>
      <w:r w:rsidRPr="00A072AA">
        <w:rPr>
          <w:rFonts w:ascii="Times New Roman" w:hAnsi="Times New Roman" w:cs="Times New Roman"/>
          <w:sz w:val="18"/>
          <w:szCs w:val="18"/>
        </w:rPr>
        <w:fldChar w:fldCharType="separate"/>
      </w:r>
      <w:r w:rsidRPr="00A072AA">
        <w:rPr>
          <w:rFonts w:ascii="Times New Roman" w:hAnsi="Times New Roman" w:cs="Times New Roman"/>
          <w:noProof/>
          <w:sz w:val="18"/>
          <w:szCs w:val="18"/>
        </w:rPr>
        <w:t xml:space="preserve">Elisabeth Nurhaini Butarbutar, </w:t>
      </w:r>
      <w:r w:rsidRPr="00A072AA">
        <w:rPr>
          <w:rFonts w:ascii="Times New Roman" w:hAnsi="Times New Roman" w:cs="Times New Roman"/>
          <w:i/>
          <w:noProof/>
          <w:sz w:val="18"/>
          <w:szCs w:val="18"/>
        </w:rPr>
        <w:t>Metode Penelitian Hukum</w:t>
      </w:r>
      <w:r w:rsidRPr="00A072AA">
        <w:rPr>
          <w:rFonts w:ascii="Times New Roman" w:hAnsi="Times New Roman" w:cs="Times New Roman"/>
          <w:noProof/>
          <w:sz w:val="18"/>
          <w:szCs w:val="18"/>
        </w:rPr>
        <w:t xml:space="preserve"> (Bandung: refika aditama, 2018).</w:t>
      </w:r>
      <w:r w:rsidRPr="00A072AA">
        <w:rPr>
          <w:rFonts w:ascii="Times New Roman" w:hAnsi="Times New Roman" w:cs="Times New Roman"/>
          <w:sz w:val="18"/>
          <w:szCs w:val="18"/>
        </w:rPr>
        <w:fldChar w:fldCharType="end"/>
      </w:r>
    </w:p>
  </w:footnote>
  <w:footnote w:id="12">
    <w:p w14:paraId="71B1181A" w14:textId="4602C31E" w:rsidR="001A12EA" w:rsidRPr="005E4ECA" w:rsidRDefault="001A12EA" w:rsidP="001A12EA">
      <w:pPr>
        <w:pStyle w:val="FootnoteText"/>
        <w:ind w:firstLine="567"/>
        <w:jc w:val="both"/>
        <w:rPr>
          <w:rFonts w:ascii="Times New Roman" w:hAnsi="Times New Roman" w:cs="Times New Roman"/>
          <w:sz w:val="18"/>
          <w:szCs w:val="18"/>
        </w:rPr>
      </w:pPr>
      <w:r>
        <w:rPr>
          <w:rStyle w:val="FootnoteReference"/>
        </w:rPr>
        <w:footnoteRef/>
      </w:r>
      <w:r>
        <w:t xml:space="preserve"> </w:t>
      </w:r>
      <w:r w:rsidRPr="005E4ECA">
        <w:rPr>
          <w:rFonts w:ascii="Times New Roman" w:hAnsi="Times New Roman" w:cs="Times New Roman"/>
          <w:sz w:val="18"/>
          <w:szCs w:val="18"/>
        </w:rPr>
        <w:fldChar w:fldCharType="begin" w:fldLock="1"/>
      </w:r>
      <w:r w:rsidR="00441DB7">
        <w:rPr>
          <w:rFonts w:ascii="Times New Roman" w:hAnsi="Times New Roman" w:cs="Times New Roman"/>
          <w:sz w:val="18"/>
          <w:szCs w:val="18"/>
        </w:rPr>
        <w:instrText>ADDIN CSL_CITATION {"citationItems":[{"id":"ITEM-1","itemData":{"author":[{"dropping-particle":"","family":"Marzuki","given":"Peter Mahmud","non-dropping-particle":"","parse-names":false,"suffix":""}],"id":"ITEM-1","issued":{"date-parts":[["2013"]]},"publisher":"Kencana prenada media group","publisher-place":"Jakarta","title":"penelitian hukum","type":"book"},"uris":["http://www.mendeley.com/documents/?uuid=e9ac1b49-5388-4f86-9ba6-127cb9d76d1b"]}],"mendeley":{"formattedCitation":"Peter Mahmud Marzuki, &lt;i&gt;Penelitian Hukum&lt;/i&gt; (Jakarta: Kencana prenada media group, 2013).","plainTextFormattedCitation":"Peter Mahmud Marzuki, Penelitian Hukum (Jakarta: Kencana prenada media group, 2013).","previouslyFormattedCitation":"Peter Mahmud Marzuki, &lt;i&gt;Penelitian Hukum&lt;/i&gt; (Jakarta: Kencana prenada media group, 2013)."},"properties":{"noteIndex":12},"schema":"https://github.com/citation-style-language/schema/raw/master/csl-citation.json"}</w:instrText>
      </w:r>
      <w:r w:rsidRPr="005E4ECA">
        <w:rPr>
          <w:rFonts w:ascii="Times New Roman" w:hAnsi="Times New Roman" w:cs="Times New Roman"/>
          <w:sz w:val="18"/>
          <w:szCs w:val="18"/>
        </w:rPr>
        <w:fldChar w:fldCharType="separate"/>
      </w:r>
      <w:r w:rsidRPr="005E4ECA">
        <w:rPr>
          <w:rFonts w:ascii="Times New Roman" w:hAnsi="Times New Roman" w:cs="Times New Roman"/>
          <w:noProof/>
          <w:sz w:val="18"/>
          <w:szCs w:val="18"/>
        </w:rPr>
        <w:t xml:space="preserve">Peter Mahmud Marzuki, </w:t>
      </w:r>
      <w:r w:rsidRPr="005E4ECA">
        <w:rPr>
          <w:rFonts w:ascii="Times New Roman" w:hAnsi="Times New Roman" w:cs="Times New Roman"/>
          <w:i/>
          <w:noProof/>
          <w:sz w:val="18"/>
          <w:szCs w:val="18"/>
        </w:rPr>
        <w:t>Penelitian Hukum</w:t>
      </w:r>
      <w:r w:rsidRPr="005E4ECA">
        <w:rPr>
          <w:rFonts w:ascii="Times New Roman" w:hAnsi="Times New Roman" w:cs="Times New Roman"/>
          <w:noProof/>
          <w:sz w:val="18"/>
          <w:szCs w:val="18"/>
        </w:rPr>
        <w:t xml:space="preserve"> (Jakarta: Kencana prenada media group, 2013).</w:t>
      </w:r>
      <w:r w:rsidRPr="005E4ECA">
        <w:rPr>
          <w:rFonts w:ascii="Times New Roman" w:hAnsi="Times New Roman" w:cs="Times New Roman"/>
          <w:sz w:val="18"/>
          <w:szCs w:val="18"/>
        </w:rPr>
        <w:fldChar w:fldCharType="end"/>
      </w:r>
    </w:p>
  </w:footnote>
  <w:footnote w:id="13">
    <w:p w14:paraId="31F69E06" w14:textId="68453291" w:rsidR="001A12EA" w:rsidRDefault="001A12EA" w:rsidP="001A12EA">
      <w:pPr>
        <w:pStyle w:val="FootnoteText"/>
        <w:ind w:firstLine="567"/>
        <w:jc w:val="both"/>
      </w:pPr>
      <w:r>
        <w:rPr>
          <w:rStyle w:val="FootnoteReference"/>
        </w:rPr>
        <w:footnoteRef/>
      </w:r>
      <w:r w:rsidRPr="0035799B">
        <w:rPr>
          <w:rFonts w:ascii="Times New Roman" w:hAnsi="Times New Roman" w:cs="Times New Roman"/>
          <w:sz w:val="18"/>
          <w:szCs w:val="18"/>
        </w:rPr>
        <w:t xml:space="preserve"> </w:t>
      </w:r>
      <w:r w:rsidRPr="0035799B">
        <w:rPr>
          <w:rFonts w:ascii="Times New Roman" w:hAnsi="Times New Roman" w:cs="Times New Roman"/>
          <w:sz w:val="18"/>
          <w:szCs w:val="18"/>
        </w:rPr>
        <w:fldChar w:fldCharType="begin" w:fldLock="1"/>
      </w:r>
      <w:r w:rsidR="00441DB7">
        <w:rPr>
          <w:rFonts w:ascii="Times New Roman" w:hAnsi="Times New Roman" w:cs="Times New Roman"/>
          <w:sz w:val="18"/>
          <w:szCs w:val="18"/>
        </w:rPr>
        <w:instrText>ADDIN CSL_CITATION {"citationItems":[{"id":"ITEM-1","itemData":{"author":[{"dropping-particle":"","family":"Suratman","given":"","non-dropping-particle":"","parse-names":false,"suffix":""},{"dropping-particle":"","family":"Dilla","given":"Phillips","non-dropping-particle":"","parse-names":false,"suffix":""}],"id":"ITEM-1","issued":{"date-parts":[["2015"]]},"publisher":"Alfabeta","publisher-place":"Bandung","title":"metode penelitian hukum","type":"book"},"uris":["http://www.mendeley.com/documents/?uuid=407d9731-5487-4021-9161-0753965248ac"]}],"mendeley":{"formattedCitation":"Suratman and Phillips Dilla, &lt;i&gt;Metode Penelitian Hukum&lt;/i&gt; (Bandung: Alfabeta, 2015).","plainTextFormattedCitation":"Suratman and Phillips Dilla, Metode Penelitian Hukum (Bandung: Alfabeta, 2015).","previouslyFormattedCitation":"Suratman and Phillips Dilla, &lt;i&gt;Metode Penelitian Hukum&lt;/i&gt; (Bandung: Alfabeta, 2015)."},"properties":{"noteIndex":13},"schema":"https://github.com/citation-style-language/schema/raw/master/csl-citation.json"}</w:instrText>
      </w:r>
      <w:r w:rsidRPr="0035799B">
        <w:rPr>
          <w:rFonts w:ascii="Times New Roman" w:hAnsi="Times New Roman" w:cs="Times New Roman"/>
          <w:sz w:val="18"/>
          <w:szCs w:val="18"/>
        </w:rPr>
        <w:fldChar w:fldCharType="separate"/>
      </w:r>
      <w:r w:rsidRPr="0035799B">
        <w:rPr>
          <w:rFonts w:ascii="Times New Roman" w:hAnsi="Times New Roman" w:cs="Times New Roman"/>
          <w:noProof/>
          <w:sz w:val="18"/>
          <w:szCs w:val="18"/>
        </w:rPr>
        <w:t xml:space="preserve">Suratman and Phillips Dilla, </w:t>
      </w:r>
      <w:r w:rsidRPr="0035799B">
        <w:rPr>
          <w:rFonts w:ascii="Times New Roman" w:hAnsi="Times New Roman" w:cs="Times New Roman"/>
          <w:i/>
          <w:noProof/>
          <w:sz w:val="18"/>
          <w:szCs w:val="18"/>
        </w:rPr>
        <w:t>Metode Penelitian Hukum</w:t>
      </w:r>
      <w:r w:rsidRPr="0035799B">
        <w:rPr>
          <w:rFonts w:ascii="Times New Roman" w:hAnsi="Times New Roman" w:cs="Times New Roman"/>
          <w:noProof/>
          <w:sz w:val="18"/>
          <w:szCs w:val="18"/>
        </w:rPr>
        <w:t xml:space="preserve"> (Bandung: Alfabeta, 2015).</w:t>
      </w:r>
      <w:r w:rsidRPr="0035799B">
        <w:rPr>
          <w:rFonts w:ascii="Times New Roman" w:hAnsi="Times New Roman" w:cs="Times New Roman"/>
          <w:sz w:val="18"/>
          <w:szCs w:val="18"/>
        </w:rPr>
        <w:fldChar w:fldCharType="end"/>
      </w:r>
    </w:p>
  </w:footnote>
  <w:footnote w:id="14">
    <w:p w14:paraId="506D7FE8" w14:textId="0C4D5B7B" w:rsidR="00A82569" w:rsidRDefault="00A82569" w:rsidP="00A82569">
      <w:pPr>
        <w:pStyle w:val="FootnoteText"/>
        <w:ind w:left="720" w:hanging="720"/>
        <w:jc w:val="both"/>
      </w:pPr>
      <w:r>
        <w:rPr>
          <w:rStyle w:val="FootnoteReference"/>
        </w:rPr>
        <w:footnoteRef/>
      </w:r>
      <w:r>
        <w:t xml:space="preserve"> </w:t>
      </w:r>
      <w:r w:rsidRPr="00A82569">
        <w:rPr>
          <w:rFonts w:ascii="Times New Roman" w:hAnsi="Times New Roman" w:cs="Times New Roman"/>
          <w:sz w:val="18"/>
          <w:szCs w:val="18"/>
        </w:rPr>
        <w:fldChar w:fldCharType="begin" w:fldLock="1"/>
      </w:r>
      <w:r w:rsidR="00C10704">
        <w:rPr>
          <w:rFonts w:ascii="Times New Roman" w:hAnsi="Times New Roman" w:cs="Times New Roman"/>
          <w:sz w:val="18"/>
          <w:szCs w:val="18"/>
        </w:rPr>
        <w:instrText>ADDIN CSL_CITATION {"citationItems":[{"id":"ITEM-1","itemData":{"DOI":"https://doi.org/10.22146/jmh.16143","ISSN":"2443-0994","abstract":"Criminal law reform by replacing the old penal code is intended to ensure that the applicable criminal law is consistent with the value of Indonesian nation. Therefore, review and re-establishment of criminal law that is based on the central Indonesian values of socio-political, socio-philosophical, and socio-cultural must be conducted. In accordance with the Indonesian nation's character who put individual and social interest in an equilibrium, a monodualistic balance must be the foundation of the concept of criminal action, criminal responsibility, and punishment.","author":[{"dropping-particle":"","family":"Gunarto","given":"Marcus Priyo","non-dropping-particle":"","parse-names":false,"suffix":""}],"container-title":"Jurnal Mimbar Hukum","id":"ITEM-1","issue":"1","issued":{"date-parts":[["2012"]]},"page":"83-97","title":"Asas Keseimbangan Dalam Konsep Rancangan Undang-Undang Kitab Undang-Undang Hukum Pidana","type":"article-journal","volume":"24"},"uris":["http://www.mendeley.com/documents/?uuid=ef6790e4-d5ce-4fe2-a548-30eb8b4827b4"]}],"mendeley":{"formattedCitation":"Marcus Priyo Gunarto, “Asas Keseimbangan Dalam Konsep Rancangan Undang-Undang Kitab Undang-Undang Hukum Pidana,” &lt;i&gt;Jurnal Mimbar Hukum&lt;/i&gt; 24, no. 1 (2012): 83–97, https://doi.org/https://doi.org/10.22146/jmh.16143.","plainTextFormattedCitation":"Marcus Priyo Gunarto, “Asas Keseimbangan Dalam Konsep Rancangan Undang-Undang Kitab Undang-Undang Hukum Pidana,” Jurnal Mimbar Hukum 24, no. 1 (2012): 83–97, https://doi.org/https://doi.org/10.22146/jmh.16143.","previouslyFormattedCitation":"Marcus Priyo Gunarto, “Asas Keseimbangan Dalam Konsep Rancangan Undang-Undang Kitab Undang-Undang Hukum Pidana,” &lt;i&gt;Jurnal Mimbar Hukum&lt;/i&gt; 24, no. 1 (2012): 83–97, https://doi.org/https://doi.org/10.22146/jmh.16143."},"properties":{"noteIndex":14},"schema":"https://github.com/citation-style-language/schema/raw/master/csl-citation.json"}</w:instrText>
      </w:r>
      <w:r w:rsidRPr="00A82569">
        <w:rPr>
          <w:rFonts w:ascii="Times New Roman" w:hAnsi="Times New Roman" w:cs="Times New Roman"/>
          <w:sz w:val="18"/>
          <w:szCs w:val="18"/>
        </w:rPr>
        <w:fldChar w:fldCharType="separate"/>
      </w:r>
      <w:r w:rsidRPr="00A82569">
        <w:rPr>
          <w:rFonts w:ascii="Times New Roman" w:hAnsi="Times New Roman" w:cs="Times New Roman"/>
          <w:noProof/>
          <w:sz w:val="18"/>
          <w:szCs w:val="18"/>
        </w:rPr>
        <w:t xml:space="preserve">Marcus Priyo Gunarto, “Asas Keseimbangan Dalam Konsep Rancangan Undang-Undang Kitab Undang-Undang Hukum Pidana,” </w:t>
      </w:r>
      <w:r w:rsidRPr="00A82569">
        <w:rPr>
          <w:rFonts w:ascii="Times New Roman" w:hAnsi="Times New Roman" w:cs="Times New Roman"/>
          <w:i/>
          <w:noProof/>
          <w:sz w:val="18"/>
          <w:szCs w:val="18"/>
        </w:rPr>
        <w:t>Jurnal Mimbar Hukum</w:t>
      </w:r>
      <w:r w:rsidRPr="00A82569">
        <w:rPr>
          <w:rFonts w:ascii="Times New Roman" w:hAnsi="Times New Roman" w:cs="Times New Roman"/>
          <w:noProof/>
          <w:sz w:val="18"/>
          <w:szCs w:val="18"/>
        </w:rPr>
        <w:t xml:space="preserve"> 24, no. 1 (2012): 83–97, https://doi.org/https://doi.org/10.22146/jmh.16143.</w:t>
      </w:r>
      <w:r w:rsidRPr="00A82569">
        <w:rPr>
          <w:rFonts w:ascii="Times New Roman" w:hAnsi="Times New Roman" w:cs="Times New Roman"/>
          <w:sz w:val="18"/>
          <w:szCs w:val="18"/>
        </w:rPr>
        <w:fldChar w:fldCharType="end"/>
      </w:r>
    </w:p>
  </w:footnote>
  <w:footnote w:id="15">
    <w:p w14:paraId="64CF651B" w14:textId="2A1AAF1A" w:rsidR="00C10704" w:rsidRDefault="00C10704" w:rsidP="00C10704">
      <w:pPr>
        <w:pStyle w:val="FootnoteText"/>
        <w:jc w:val="both"/>
      </w:pPr>
      <w:r>
        <w:rPr>
          <w:rStyle w:val="FootnoteReference"/>
        </w:rPr>
        <w:footnoteRef/>
      </w:r>
      <w:r w:rsidRPr="00C10704">
        <w:rPr>
          <w:rFonts w:ascii="Times New Roman" w:hAnsi="Times New Roman" w:cs="Times New Roman"/>
          <w:sz w:val="18"/>
          <w:szCs w:val="18"/>
        </w:rPr>
        <w:t xml:space="preserve"> </w:t>
      </w:r>
      <w:r w:rsidRPr="00C10704">
        <w:rPr>
          <w:rFonts w:ascii="Times New Roman" w:hAnsi="Times New Roman" w:cs="Times New Roman"/>
          <w:sz w:val="18"/>
          <w:szCs w:val="18"/>
        </w:rPr>
        <w:fldChar w:fldCharType="begin" w:fldLock="1"/>
      </w:r>
      <w:r w:rsidR="00856C6F">
        <w:rPr>
          <w:rFonts w:ascii="Times New Roman" w:hAnsi="Times New Roman" w:cs="Times New Roman"/>
          <w:sz w:val="18"/>
          <w:szCs w:val="18"/>
        </w:rPr>
        <w:instrText>ADDIN CSL_CITATION {"citationItems":[{"id":"ITEM-1","itemData":{"author":[{"dropping-particle":"","family":"Sitompul","given":"Josua","non-dropping-particle":"","parse-names":false,"suffix":""}],"id":"ITEM-1","issued":{"date-parts":[["2012"]]},"publisher":"PT Tatanusa","publisher-place":"Jakarta","title":"Cyberspace, cybercrime, cyberlaw, Tinjauan Aspek Hukum Pidana","type":"book"},"uris":["http://www.mendeley.com/documents/?uuid=73fade16-8eb1-450f-b78c-463c185cd482"]}],"mendeley":{"formattedCitation":"Josua Sitompul, &lt;i&gt;Cyberspace, Cybercrime, Cyberlaw, Tinjauan Aspek Hukum Pidana&lt;/i&gt; (Jakarta: PT Tatanusa, 2012).","plainTextFormattedCitation":"Josua Sitompul, Cyberspace, Cybercrime, Cyberlaw, Tinjauan Aspek Hukum Pidana (Jakarta: PT Tatanusa, 2012).","previouslyFormattedCitation":"Josua Sitompul, &lt;i&gt;Cyberspace, Cybercrime, Cyberlaw, Tinjauan Aspek Hukum Pidana&lt;/i&gt; (Jakarta: PT Tatanusa, 2012)."},"properties":{"noteIndex":15},"schema":"https://github.com/citation-style-language/schema/raw/master/csl-citation.json"}</w:instrText>
      </w:r>
      <w:r w:rsidRPr="00C10704">
        <w:rPr>
          <w:rFonts w:ascii="Times New Roman" w:hAnsi="Times New Roman" w:cs="Times New Roman"/>
          <w:sz w:val="18"/>
          <w:szCs w:val="18"/>
        </w:rPr>
        <w:fldChar w:fldCharType="separate"/>
      </w:r>
      <w:r w:rsidRPr="00C10704">
        <w:rPr>
          <w:rFonts w:ascii="Times New Roman" w:hAnsi="Times New Roman" w:cs="Times New Roman"/>
          <w:noProof/>
          <w:sz w:val="18"/>
          <w:szCs w:val="18"/>
        </w:rPr>
        <w:t xml:space="preserve">Josua Sitompul, </w:t>
      </w:r>
      <w:r w:rsidRPr="00C10704">
        <w:rPr>
          <w:rFonts w:ascii="Times New Roman" w:hAnsi="Times New Roman" w:cs="Times New Roman"/>
          <w:i/>
          <w:noProof/>
          <w:sz w:val="18"/>
          <w:szCs w:val="18"/>
        </w:rPr>
        <w:t>Cyberspace, Cybercrime, Cyberlaw, Tinjauan Aspek Hukum Pidana</w:t>
      </w:r>
      <w:r w:rsidRPr="00C10704">
        <w:rPr>
          <w:rFonts w:ascii="Times New Roman" w:hAnsi="Times New Roman" w:cs="Times New Roman"/>
          <w:noProof/>
          <w:sz w:val="18"/>
          <w:szCs w:val="18"/>
        </w:rPr>
        <w:t xml:space="preserve"> (Jakarta: PT Tatanusa, 2012).</w:t>
      </w:r>
      <w:r w:rsidRPr="00C10704">
        <w:rPr>
          <w:rFonts w:ascii="Times New Roman" w:hAnsi="Times New Roman" w:cs="Times New Roman"/>
          <w:sz w:val="18"/>
          <w:szCs w:val="18"/>
        </w:rPr>
        <w:fldChar w:fldCharType="end"/>
      </w:r>
    </w:p>
  </w:footnote>
  <w:footnote w:id="16">
    <w:p w14:paraId="3F767D10" w14:textId="48DBF3A5" w:rsidR="00856C6F" w:rsidRDefault="00856C6F" w:rsidP="00856C6F">
      <w:pPr>
        <w:pStyle w:val="FootnoteText"/>
        <w:ind w:left="720" w:hanging="720"/>
        <w:jc w:val="both"/>
      </w:pPr>
      <w:r>
        <w:rPr>
          <w:rStyle w:val="FootnoteReference"/>
        </w:rPr>
        <w:footnoteRef/>
      </w:r>
      <w:r>
        <w:t xml:space="preserve"> </w:t>
      </w:r>
      <w:r w:rsidRPr="00856C6F">
        <w:rPr>
          <w:rFonts w:ascii="Times New Roman" w:hAnsi="Times New Roman" w:cs="Times New Roman"/>
          <w:sz w:val="18"/>
          <w:szCs w:val="18"/>
        </w:rPr>
        <w:fldChar w:fldCharType="begin" w:fldLock="1"/>
      </w:r>
      <w:r w:rsidR="002A550A">
        <w:rPr>
          <w:rFonts w:ascii="Times New Roman" w:hAnsi="Times New Roman" w:cs="Times New Roman"/>
          <w:sz w:val="18"/>
          <w:szCs w:val="18"/>
        </w:rPr>
        <w:instrText>ADDIN CSL_CITATION {"citationItems":[{"id":"ITEM-1","itemData":{"author":[{"dropping-particle":"","family":"Gunawan","given":"T.J.","non-dropping-particle":"","parse-names":false,"suffix":""}],"id":"ITEM-1","issued":{"date-parts":[["2022"]]},"publisher":"kencana","publisher-place":"Jakarta","title":"Keseimbangan Nilai Pidana Penjara Dan Pidana Denda Perspektif Penology Melalui Pendekatan Analisis Ekonomi","type":"book"},"uris":["http://www.mendeley.com/documents/?uuid=512705d0-5174-47ab-9e2a-d8d422b7d7ed"]}],"mendeley":{"formattedCitation":"T.J. Gunawan, &lt;i&gt;Keseimbangan Nilai Pidana Penjara Dan Pidana Denda Perspektif Penology Melalui Pendekatan Analisis Ekonomi&lt;/i&gt; (Jakarta: kencana, 2022).","plainTextFormattedCitation":"T.J. Gunawan, Keseimbangan Nilai Pidana Penjara Dan Pidana Denda Perspektif Penology Melalui Pendekatan Analisis Ekonomi (Jakarta: kencana, 2022).","previouslyFormattedCitation":"T.J. Gunawan, &lt;i&gt;Keseimbangan Nilai Pidana Penjara Dan Pidana Denda Perspektif Penology Melalui Pendekatan Analisis Ekonomi&lt;/i&gt; (Jakarta: kencana, 2022)."},"properties":{"noteIndex":16},"schema":"https://github.com/citation-style-language/schema/raw/master/csl-citation.json"}</w:instrText>
      </w:r>
      <w:r w:rsidRPr="00856C6F">
        <w:rPr>
          <w:rFonts w:ascii="Times New Roman" w:hAnsi="Times New Roman" w:cs="Times New Roman"/>
          <w:sz w:val="18"/>
          <w:szCs w:val="18"/>
        </w:rPr>
        <w:fldChar w:fldCharType="separate"/>
      </w:r>
      <w:r w:rsidRPr="00856C6F">
        <w:rPr>
          <w:rFonts w:ascii="Times New Roman" w:hAnsi="Times New Roman" w:cs="Times New Roman"/>
          <w:noProof/>
          <w:sz w:val="18"/>
          <w:szCs w:val="18"/>
        </w:rPr>
        <w:t xml:space="preserve">T.J. Gunawan, </w:t>
      </w:r>
      <w:r w:rsidRPr="00856C6F">
        <w:rPr>
          <w:rFonts w:ascii="Times New Roman" w:hAnsi="Times New Roman" w:cs="Times New Roman"/>
          <w:i/>
          <w:noProof/>
          <w:sz w:val="18"/>
          <w:szCs w:val="18"/>
        </w:rPr>
        <w:t>Keseimbangan Nilai Pidana Penjara Dan Pidana Denda Perspektif Penology Melalui Pendekatan Analisis Ekonomi</w:t>
      </w:r>
      <w:r w:rsidRPr="00856C6F">
        <w:rPr>
          <w:rFonts w:ascii="Times New Roman" w:hAnsi="Times New Roman" w:cs="Times New Roman"/>
          <w:noProof/>
          <w:sz w:val="18"/>
          <w:szCs w:val="18"/>
        </w:rPr>
        <w:t xml:space="preserve"> (Jakarta: kencana, 2022).</w:t>
      </w:r>
      <w:r w:rsidRPr="00856C6F">
        <w:rPr>
          <w:rFonts w:ascii="Times New Roman" w:hAnsi="Times New Roman" w:cs="Times New Roman"/>
          <w:sz w:val="18"/>
          <w:szCs w:val="18"/>
        </w:rPr>
        <w:fldChar w:fldCharType="end"/>
      </w:r>
    </w:p>
  </w:footnote>
  <w:footnote w:id="17">
    <w:p w14:paraId="38C6B15E" w14:textId="35E5F61A" w:rsidR="002A550A" w:rsidRDefault="002A550A" w:rsidP="002A550A">
      <w:pPr>
        <w:pStyle w:val="FootnoteText"/>
        <w:ind w:left="720" w:hanging="720"/>
        <w:jc w:val="both"/>
      </w:pPr>
      <w:r>
        <w:rPr>
          <w:rStyle w:val="FootnoteReference"/>
        </w:rPr>
        <w:footnoteRef/>
      </w:r>
      <w:r>
        <w:t xml:space="preserve"> </w:t>
      </w:r>
      <w:r w:rsidRPr="002A550A">
        <w:rPr>
          <w:rFonts w:ascii="Times New Roman" w:hAnsi="Times New Roman" w:cs="Times New Roman"/>
          <w:sz w:val="18"/>
          <w:szCs w:val="18"/>
        </w:rPr>
        <w:fldChar w:fldCharType="begin" w:fldLock="1"/>
      </w:r>
      <w:r w:rsidR="0034701A">
        <w:rPr>
          <w:rFonts w:ascii="Times New Roman" w:hAnsi="Times New Roman" w:cs="Times New Roman"/>
          <w:sz w:val="18"/>
          <w:szCs w:val="18"/>
        </w:rPr>
        <w:instrText>ADDIN CSL_CITATION {"citationItems":[{"id":"ITEM-1","itemData":{"author":[{"dropping-particle":"","family":"Supanto","given":"","non-dropping-particle":"","parse-names":false,"suffix":""}],"id":"ITEM-1","issued":{"date-parts":[["2015"]]},"publisher":"UNS Press","publisher-place":"Surakarta","title":"Kebijakan Formulasi Hukum Pidana Ekonomi Dalam Menghadapi Perkembangan Globalisasi Ekonomi","type":"book"},"uris":["http://www.mendeley.com/documents/?uuid=a2518b56-226b-44b4-8bcd-4999461910fb"]}],"mendeley":{"formattedCitation":"Supanto, &lt;i&gt;Kebijakan Formulasi Hukum Pidana Ekonomi Dalam Menghadapi Perkembangan Globalisasi Ekonomi&lt;/i&gt; (Surakarta: UNS Press, 2015).","plainTextFormattedCitation":"Supanto, Kebijakan Formulasi Hukum Pidana Ekonomi Dalam Menghadapi Perkembangan Globalisasi Ekonomi (Surakarta: UNS Press, 2015).","previouslyFormattedCitation":"Supanto, &lt;i&gt;Kebijakan Formulasi Hukum Pidana Ekonomi Dalam Menghadapi Perkembangan Globalisasi Ekonomi&lt;/i&gt; (Surakarta: UNS Press, 2015)."},"properties":{"noteIndex":17},"schema":"https://github.com/citation-style-language/schema/raw/master/csl-citation.json"}</w:instrText>
      </w:r>
      <w:r w:rsidRPr="002A550A">
        <w:rPr>
          <w:rFonts w:ascii="Times New Roman" w:hAnsi="Times New Roman" w:cs="Times New Roman"/>
          <w:sz w:val="18"/>
          <w:szCs w:val="18"/>
        </w:rPr>
        <w:fldChar w:fldCharType="separate"/>
      </w:r>
      <w:r w:rsidRPr="002A550A">
        <w:rPr>
          <w:rFonts w:ascii="Times New Roman" w:hAnsi="Times New Roman" w:cs="Times New Roman"/>
          <w:noProof/>
          <w:sz w:val="18"/>
          <w:szCs w:val="18"/>
        </w:rPr>
        <w:t xml:space="preserve">Supanto, </w:t>
      </w:r>
      <w:r w:rsidRPr="002A550A">
        <w:rPr>
          <w:rFonts w:ascii="Times New Roman" w:hAnsi="Times New Roman" w:cs="Times New Roman"/>
          <w:i/>
          <w:noProof/>
          <w:sz w:val="18"/>
          <w:szCs w:val="18"/>
        </w:rPr>
        <w:t>Kebijakan Formulasi Hukum Pidana Ekonomi Dalam Menghadapi Perkembangan Globalisasi Ekonomi</w:t>
      </w:r>
      <w:r w:rsidRPr="002A550A">
        <w:rPr>
          <w:rFonts w:ascii="Times New Roman" w:hAnsi="Times New Roman" w:cs="Times New Roman"/>
          <w:noProof/>
          <w:sz w:val="18"/>
          <w:szCs w:val="18"/>
        </w:rPr>
        <w:t xml:space="preserve"> (Surakarta: UNS Press, 2015).</w:t>
      </w:r>
      <w:r w:rsidRPr="002A550A">
        <w:rPr>
          <w:rFonts w:ascii="Times New Roman" w:hAnsi="Times New Roman" w:cs="Times New Roman"/>
          <w:sz w:val="18"/>
          <w:szCs w:val="18"/>
        </w:rPr>
        <w:fldChar w:fldCharType="end"/>
      </w:r>
    </w:p>
  </w:footnote>
  <w:footnote w:id="18">
    <w:p w14:paraId="74E2BC21" w14:textId="49E08F1F" w:rsidR="0034701A" w:rsidRPr="009412D7" w:rsidRDefault="0034701A" w:rsidP="00E35748">
      <w:pPr>
        <w:pStyle w:val="FootnoteText"/>
        <w:ind w:left="720" w:hanging="720"/>
        <w:jc w:val="both"/>
        <w:rPr>
          <w:rFonts w:ascii="Times New Roman" w:hAnsi="Times New Roman" w:cs="Times New Roman"/>
          <w:sz w:val="18"/>
          <w:szCs w:val="18"/>
        </w:rPr>
      </w:pPr>
      <w:r>
        <w:rPr>
          <w:rStyle w:val="FootnoteReference"/>
        </w:rPr>
        <w:footnoteRef/>
      </w:r>
      <w:r>
        <w:t xml:space="preserve"> </w:t>
      </w:r>
      <w:r w:rsidRPr="009412D7">
        <w:rPr>
          <w:rFonts w:ascii="Times New Roman" w:hAnsi="Times New Roman" w:cs="Times New Roman"/>
          <w:sz w:val="18"/>
          <w:szCs w:val="18"/>
        </w:rPr>
        <w:fldChar w:fldCharType="begin" w:fldLock="1"/>
      </w:r>
      <w:r w:rsidR="00533137" w:rsidRPr="009412D7">
        <w:rPr>
          <w:rFonts w:ascii="Times New Roman" w:hAnsi="Times New Roman" w:cs="Times New Roman"/>
          <w:sz w:val="18"/>
          <w:szCs w:val="18"/>
        </w:rPr>
        <w:instrText>ADDIN CSL_CITATION {"citationItems":[{"id":"ITEM-1","itemData":{"DOI":"https://doi.org/10.1215/08879982-2012-1012.","author":[{"dropping-particle":"","family":"Armour","given":"Marilyn","non-dropping-particle":"","parse-names":false,"suffix":""}],"container-title":"tikkun","id":"ITEM-1","issue":"1","issued":{"date-parts":[["2012"]]},"title":"\"Restorative Justice: some facts and history\"","type":"article-journal","volume":"27"},"uris":["http://www.mendeley.com/documents/?uuid=8797de8c-78a3-4d7f-a5e1-f18e65e74eee"]}],"mendeley":{"formattedCitation":"Marilyn Armour, “‘Restorative Justice: Some Facts and History,’” &lt;i&gt;Tikkun&lt;/i&gt; 27, no. 1 (2012), https://doi.org/https://doi.org/10.1215/08879982-2012-1012.","plainTextFormattedCitation":"Marilyn Armour, “‘Restorative Justice: Some Facts and History,’” Tikkun 27, no. 1 (2012), https://doi.org/https://doi.org/10.1215/08879982-2012-1012.","previouslyFormattedCitation":"Marilyn Armour, “‘Restorative Justice: Some Facts and History,’” &lt;i&gt;Tikkun&lt;/i&gt; 27, no. 1 (2012), https://doi.org/https://doi.org/10.1215/08879982-2012-1012."},"properties":{"noteIndex":18},"schema":"https://github.com/citation-style-language/schema/raw/master/csl-citation.json"}</w:instrText>
      </w:r>
      <w:r w:rsidRPr="009412D7">
        <w:rPr>
          <w:rFonts w:ascii="Times New Roman" w:hAnsi="Times New Roman" w:cs="Times New Roman"/>
          <w:sz w:val="18"/>
          <w:szCs w:val="18"/>
        </w:rPr>
        <w:fldChar w:fldCharType="separate"/>
      </w:r>
      <w:r w:rsidRPr="009412D7">
        <w:rPr>
          <w:rFonts w:ascii="Times New Roman" w:hAnsi="Times New Roman" w:cs="Times New Roman"/>
          <w:noProof/>
          <w:sz w:val="18"/>
          <w:szCs w:val="18"/>
        </w:rPr>
        <w:t>Marilyn Armour, “‘Restorative Justice: Some Facts and History,’” Tikkun 27, no. 1 (2012), https://doi.org/https://doi.org/10.1215/08879982-2012-1012.</w:t>
      </w:r>
      <w:r w:rsidRPr="009412D7">
        <w:rPr>
          <w:rFonts w:ascii="Times New Roman" w:hAnsi="Times New Roman" w:cs="Times New Roman"/>
          <w:sz w:val="18"/>
          <w:szCs w:val="18"/>
        </w:rPr>
        <w:fldChar w:fldCharType="end"/>
      </w:r>
    </w:p>
  </w:footnote>
  <w:footnote w:id="19">
    <w:p w14:paraId="47C446DE" w14:textId="6D7C5777" w:rsidR="00533137" w:rsidRDefault="00533137" w:rsidP="00533137">
      <w:pPr>
        <w:pStyle w:val="FootnoteText"/>
        <w:ind w:left="720" w:hanging="720"/>
        <w:jc w:val="both"/>
      </w:pPr>
      <w:r>
        <w:rPr>
          <w:rStyle w:val="FootnoteReference"/>
        </w:rPr>
        <w:footnoteRef/>
      </w:r>
      <w:r>
        <w:t xml:space="preserve"> </w:t>
      </w:r>
      <w:r w:rsidRPr="00533137">
        <w:rPr>
          <w:rFonts w:ascii="Times New Roman" w:hAnsi="Times New Roman" w:cs="Times New Roman"/>
          <w:sz w:val="18"/>
          <w:szCs w:val="18"/>
        </w:rPr>
        <w:fldChar w:fldCharType="begin" w:fldLock="1"/>
      </w:r>
      <w:r w:rsidR="00E35748">
        <w:rPr>
          <w:rFonts w:ascii="Times New Roman" w:hAnsi="Times New Roman" w:cs="Times New Roman"/>
          <w:sz w:val="18"/>
          <w:szCs w:val="18"/>
        </w:rPr>
        <w:instrText>ADDIN CSL_CITATION {"citationItems":[{"id":"ITEM-1","itemData":{"DOI":"https://doi.org/10.1016/j.ijlp.2006.03.002","author":[{"dropping-particle":"","family":"Liebling","given":"Alison","non-dropping-particle":"","parse-names":false,"suffix":""}],"container-title":"international journal of law and psychiatry","id":"ITEM-1","issue":"5","issued":{"date-parts":[["2006"]]},"page":"422-430","title":"Prisons in transition","type":"article-journal","volume":"29"},"uris":["http://www.mendeley.com/documents/?uuid=34236497-5dcc-4dbc-bffe-7759370f9b00"]}],"mendeley":{"formattedCitation":"Alison Liebling, “Prisons in Transition,” &lt;i&gt;International Journal of Law and Psychiatry&lt;/i&gt; 29, no. 5 (2006): 422–30, https://doi.org/https://doi.org/10.1016/j.ijlp.2006.03.002.","plainTextFormattedCitation":"Alison Liebling, “Prisons in Transition,” International Journal of Law and Psychiatry 29, no. 5 (2006): 422–30, https://doi.org/https://doi.org/10.1016/j.ijlp.2006.03.002.","previouslyFormattedCitation":"Alison Liebling, “Prisons in Transition,” &lt;i&gt;International Journal of Law and Psychiatry&lt;/i&gt; 29, no. 5 (2006): 422–30, https://doi.org/https://doi.org/10.1016/j.ijlp.2006.03.002."},"properties":{"noteIndex":19},"schema":"https://github.com/citation-style-language/schema/raw/master/csl-citation.json"}</w:instrText>
      </w:r>
      <w:r w:rsidRPr="00533137">
        <w:rPr>
          <w:rFonts w:ascii="Times New Roman" w:hAnsi="Times New Roman" w:cs="Times New Roman"/>
          <w:sz w:val="18"/>
          <w:szCs w:val="18"/>
        </w:rPr>
        <w:fldChar w:fldCharType="separate"/>
      </w:r>
      <w:r w:rsidRPr="00533137">
        <w:rPr>
          <w:rFonts w:ascii="Times New Roman" w:hAnsi="Times New Roman" w:cs="Times New Roman"/>
          <w:noProof/>
          <w:sz w:val="18"/>
          <w:szCs w:val="18"/>
        </w:rPr>
        <w:t xml:space="preserve">Alison Liebling, “Prisons in Transition,” </w:t>
      </w:r>
      <w:r w:rsidRPr="00533137">
        <w:rPr>
          <w:rFonts w:ascii="Times New Roman" w:hAnsi="Times New Roman" w:cs="Times New Roman"/>
          <w:i/>
          <w:noProof/>
          <w:sz w:val="18"/>
          <w:szCs w:val="18"/>
        </w:rPr>
        <w:t>International Journal of Law and Psychiatry</w:t>
      </w:r>
      <w:r w:rsidRPr="00533137">
        <w:rPr>
          <w:rFonts w:ascii="Times New Roman" w:hAnsi="Times New Roman" w:cs="Times New Roman"/>
          <w:noProof/>
          <w:sz w:val="18"/>
          <w:szCs w:val="18"/>
        </w:rPr>
        <w:t xml:space="preserve"> 29, no. 5 (2006): 422–30, https://doi.org/https://doi.org/10.1016/j.ijlp.2006.03.002.</w:t>
      </w:r>
      <w:r w:rsidRPr="00533137">
        <w:rPr>
          <w:rFonts w:ascii="Times New Roman" w:hAnsi="Times New Roman" w:cs="Times New Roman"/>
          <w:sz w:val="18"/>
          <w:szCs w:val="18"/>
        </w:rPr>
        <w:fldChar w:fldCharType="end"/>
      </w:r>
    </w:p>
  </w:footnote>
  <w:footnote w:id="20">
    <w:p w14:paraId="6B3769B9" w14:textId="3074F40C" w:rsidR="00E35748" w:rsidRDefault="00E35748" w:rsidP="00E35748">
      <w:pPr>
        <w:pStyle w:val="FootnoteText"/>
        <w:ind w:left="720" w:hanging="720"/>
      </w:pPr>
      <w:r>
        <w:rPr>
          <w:rStyle w:val="FootnoteReference"/>
        </w:rPr>
        <w:footnoteRef/>
      </w:r>
      <w:r>
        <w:t xml:space="preserve"> </w:t>
      </w:r>
      <w:r w:rsidRPr="00E35748">
        <w:rPr>
          <w:rFonts w:ascii="Times New Roman" w:hAnsi="Times New Roman" w:cs="Times New Roman"/>
          <w:sz w:val="18"/>
          <w:szCs w:val="18"/>
        </w:rPr>
        <w:fldChar w:fldCharType="begin" w:fldLock="1"/>
      </w:r>
      <w:r w:rsidR="00E22B35">
        <w:rPr>
          <w:rFonts w:ascii="Times New Roman" w:hAnsi="Times New Roman" w:cs="Times New Roman"/>
          <w:sz w:val="18"/>
          <w:szCs w:val="18"/>
        </w:rPr>
        <w:instrText>ADDIN CSL_CITATION {"citationItems":[{"id":"ITEM-1","itemData":{"ISSN":"2087-5487","abstract":"… Undang-undang informasi dan transaksi elektronik (UU ITE) atau yang disebut dengan cyberlaw, digunakan untuk mengatur berbagai perlindungan … B. Undang-undang Undang-Undang Nomor 11 tahun 2008 tentang Informasi dan Transaksi Elektronik …","author":[{"dropping-particle":"","family":"Wahyudi","given":"Dheny","non-dropping-particle":"","parse-names":false,"suffix":""}],"container-title":"Jurnal Ilmu Hukum Jambi","id":"ITEM-1","issue":"1","issued":{"date-parts":[["2013"]]},"page":"98-113","title":"Perlindungan Hukum Terhadap Korban Kejahatan Cyber Crime Di Indonesia","type":"article-journal","volume":"4"},"uris":["http://www.mendeley.com/documents/?uuid=cd545488-4cd2-4185-9a13-53a0fb429d8f"]}],"mendeley":{"formattedCitation":"Dheny Wahyudi, “Perlindungan Hukum Terhadap Korban Kejahatan Cyber Crime Di Indonesia,” &lt;i&gt;Jurnal Ilmu Hukum Jambi&lt;/i&gt; 4, no. 1 (2013): 98–113.","plainTextFormattedCitation":"Dheny Wahyudi, “Perlindungan Hukum Terhadap Korban Kejahatan Cyber Crime Di Indonesia,” Jurnal Ilmu Hukum Jambi 4, no. 1 (2013): 98–113.","previouslyFormattedCitation":"Dheny Wahyudi, “Perlindungan Hukum Terhadap Korban Kejahatan Cyber Crime Di Indonesia,” &lt;i&gt;Jurnal Ilmu Hukum Jambi&lt;/i&gt; 4, no. 1 (2013): 98–113."},"properties":{"noteIndex":20},"schema":"https://github.com/citation-style-language/schema/raw/master/csl-citation.json"}</w:instrText>
      </w:r>
      <w:r w:rsidRPr="00E35748">
        <w:rPr>
          <w:rFonts w:ascii="Times New Roman" w:hAnsi="Times New Roman" w:cs="Times New Roman"/>
          <w:sz w:val="18"/>
          <w:szCs w:val="18"/>
        </w:rPr>
        <w:fldChar w:fldCharType="separate"/>
      </w:r>
      <w:r w:rsidRPr="00E35748">
        <w:rPr>
          <w:rFonts w:ascii="Times New Roman" w:hAnsi="Times New Roman" w:cs="Times New Roman"/>
          <w:noProof/>
          <w:sz w:val="18"/>
          <w:szCs w:val="18"/>
        </w:rPr>
        <w:t xml:space="preserve">Dheny Wahyudi, “Perlindungan Hukum Terhadap Korban Kejahatan Cyber Crime Di Indonesia,” </w:t>
      </w:r>
      <w:r w:rsidRPr="00E35748">
        <w:rPr>
          <w:rFonts w:ascii="Times New Roman" w:hAnsi="Times New Roman" w:cs="Times New Roman"/>
          <w:i/>
          <w:noProof/>
          <w:sz w:val="18"/>
          <w:szCs w:val="18"/>
        </w:rPr>
        <w:t>Jurnal Ilmu Hukum Jambi</w:t>
      </w:r>
      <w:r w:rsidRPr="00E35748">
        <w:rPr>
          <w:rFonts w:ascii="Times New Roman" w:hAnsi="Times New Roman" w:cs="Times New Roman"/>
          <w:noProof/>
          <w:sz w:val="18"/>
          <w:szCs w:val="18"/>
        </w:rPr>
        <w:t xml:space="preserve"> 4, no. 1 (2013): 98–113.</w:t>
      </w:r>
      <w:r w:rsidRPr="00E35748">
        <w:rPr>
          <w:rFonts w:ascii="Times New Roman" w:hAnsi="Times New Roman" w:cs="Times New Roman"/>
          <w:sz w:val="18"/>
          <w:szCs w:val="18"/>
        </w:rPr>
        <w:fldChar w:fldCharType="end"/>
      </w:r>
    </w:p>
  </w:footnote>
  <w:footnote w:id="21">
    <w:p w14:paraId="59989534" w14:textId="665C20CF" w:rsidR="00E22B35" w:rsidRDefault="00E22B35" w:rsidP="00E22B35">
      <w:pPr>
        <w:pStyle w:val="FootnoteText"/>
        <w:ind w:left="720" w:hanging="720"/>
        <w:jc w:val="both"/>
      </w:pPr>
      <w:r>
        <w:rPr>
          <w:rStyle w:val="FootnoteReference"/>
        </w:rPr>
        <w:footnoteRef/>
      </w:r>
      <w:r>
        <w:t xml:space="preserve"> </w:t>
      </w:r>
      <w:r w:rsidRPr="00E22B35">
        <w:rPr>
          <w:rFonts w:ascii="Times New Roman" w:hAnsi="Times New Roman" w:cs="Times New Roman"/>
          <w:sz w:val="18"/>
          <w:szCs w:val="18"/>
        </w:rPr>
        <w:fldChar w:fldCharType="begin" w:fldLock="1"/>
      </w:r>
      <w:r w:rsidR="00A05A75">
        <w:rPr>
          <w:rFonts w:ascii="Times New Roman" w:hAnsi="Times New Roman" w:cs="Times New Roman"/>
          <w:sz w:val="18"/>
          <w:szCs w:val="18"/>
        </w:rPr>
        <w:instrText>ADDIN CSL_CITATION {"citationItems":[{"id":"ITEM-1","itemData":{"author":[{"dropping-particle":"","family":"Nawawi Arief","given":"Barda","non-dropping-particle":"","parse-names":false,"suffix":""}],"id":"ITEM-1","issued":{"date-parts":[["1998"]]},"publisher":"Citra aditya bakti","publisher-place":"Bandung","title":"Beberapa Aspek Kebijakan Penegakan dan Pengembangan Hukum Pidana","type":"book"},"uris":["http://www.mendeley.com/documents/?uuid=1964b47e-a3d2-4607-8b42-705cf5143161"]}],"mendeley":{"formattedCitation":"Barda Nawawi Arief, &lt;i&gt;Beberapa Aspek Kebijakan Penegakan Dan Pengembangan Hukum Pidana&lt;/i&gt; (Bandung: Citra aditya bakti, 1998).","plainTextFormattedCitation":"Barda Nawawi Arief, Beberapa Aspek Kebijakan Penegakan Dan Pengembangan Hukum Pidana (Bandung: Citra aditya bakti, 1998).","previouslyFormattedCitation":"Barda Nawawi Arief, &lt;i&gt;Beberapa Aspek Kebijakan Penegakan Dan Pengembangan Hukum Pidana&lt;/i&gt; (Bandung: Citra aditya bakti, 1998)."},"properties":{"noteIndex":21},"schema":"https://github.com/citation-style-language/schema/raw/master/csl-citation.json"}</w:instrText>
      </w:r>
      <w:r w:rsidRPr="00E22B35">
        <w:rPr>
          <w:rFonts w:ascii="Times New Roman" w:hAnsi="Times New Roman" w:cs="Times New Roman"/>
          <w:sz w:val="18"/>
          <w:szCs w:val="18"/>
        </w:rPr>
        <w:fldChar w:fldCharType="separate"/>
      </w:r>
      <w:r w:rsidRPr="00E22B35">
        <w:rPr>
          <w:rFonts w:ascii="Times New Roman" w:hAnsi="Times New Roman" w:cs="Times New Roman"/>
          <w:noProof/>
          <w:sz w:val="18"/>
          <w:szCs w:val="18"/>
        </w:rPr>
        <w:t xml:space="preserve">Barda Nawawi Arief, </w:t>
      </w:r>
      <w:r w:rsidRPr="00E22B35">
        <w:rPr>
          <w:rFonts w:ascii="Times New Roman" w:hAnsi="Times New Roman" w:cs="Times New Roman"/>
          <w:i/>
          <w:noProof/>
          <w:sz w:val="18"/>
          <w:szCs w:val="18"/>
        </w:rPr>
        <w:t>Beberapa Aspek Kebijakan Penegakan Dan Pengembangan Hukum Pidana</w:t>
      </w:r>
      <w:r w:rsidRPr="00E22B35">
        <w:rPr>
          <w:rFonts w:ascii="Times New Roman" w:hAnsi="Times New Roman" w:cs="Times New Roman"/>
          <w:noProof/>
          <w:sz w:val="18"/>
          <w:szCs w:val="18"/>
        </w:rPr>
        <w:t xml:space="preserve"> (Bandung: Citra aditya bakti, 1998).</w:t>
      </w:r>
      <w:r w:rsidRPr="00E22B35">
        <w:rPr>
          <w:rFonts w:ascii="Times New Roman" w:hAnsi="Times New Roman" w:cs="Times New Roman"/>
          <w:sz w:val="18"/>
          <w:szCs w:val="18"/>
        </w:rPr>
        <w:fldChar w:fldCharType="end"/>
      </w:r>
    </w:p>
  </w:footnote>
  <w:footnote w:id="22">
    <w:p w14:paraId="5E59D435" w14:textId="18C21783" w:rsidR="00A05A75" w:rsidRDefault="00A05A75" w:rsidP="00A05A75">
      <w:pPr>
        <w:pStyle w:val="FootnoteText"/>
        <w:jc w:val="both"/>
      </w:pPr>
      <w:r>
        <w:rPr>
          <w:rStyle w:val="FootnoteReference"/>
        </w:rPr>
        <w:footnoteRef/>
      </w:r>
      <w:r>
        <w:t xml:space="preserve"> </w:t>
      </w:r>
      <w:r w:rsidRPr="00A05A75">
        <w:rPr>
          <w:rFonts w:ascii="Times New Roman" w:hAnsi="Times New Roman" w:cs="Times New Roman"/>
          <w:sz w:val="18"/>
          <w:szCs w:val="18"/>
        </w:rPr>
        <w:fldChar w:fldCharType="begin" w:fldLock="1"/>
      </w:r>
      <w:r w:rsidR="0014246A">
        <w:rPr>
          <w:rFonts w:ascii="Times New Roman" w:hAnsi="Times New Roman" w:cs="Times New Roman"/>
          <w:sz w:val="18"/>
          <w:szCs w:val="18"/>
        </w:rPr>
        <w:instrText>ADDIN CSL_CITATION {"citationItems":[{"id":"ITEM-1","itemData":{"author":[{"dropping-particle":"","family":"Sunarso","given":"Siswanto","non-dropping-particle":"","parse-names":false,"suffix":""}],"id":"ITEM-1","issued":{"date-parts":[["2014"]]},"publisher":"Sinar grafika","publisher-place":"Jakarta","title":"Viktimologi dalam Sistem Peradilan Pidana","type":"book"},"uris":["http://www.mendeley.com/documents/?uuid=16643cbb-1b7d-4d68-807d-45266decbe21"]}],"mendeley":{"formattedCitation":"Siswanto Sunarso, &lt;i&gt;Viktimologi Dalam Sistem Peradilan Pidana&lt;/i&gt; (Jakarta: Sinar grafika, 2014).","plainTextFormattedCitation":"Siswanto Sunarso, Viktimologi Dalam Sistem Peradilan Pidana (Jakarta: Sinar grafika, 2014).","previouslyFormattedCitation":"Siswanto Sunarso, &lt;i&gt;Viktimologi Dalam Sistem Peradilan Pidana&lt;/i&gt; (Jakarta: Sinar grafika, 2014)."},"properties":{"noteIndex":22},"schema":"https://github.com/citation-style-language/schema/raw/master/csl-citation.json"}</w:instrText>
      </w:r>
      <w:r w:rsidRPr="00A05A75">
        <w:rPr>
          <w:rFonts w:ascii="Times New Roman" w:hAnsi="Times New Roman" w:cs="Times New Roman"/>
          <w:sz w:val="18"/>
          <w:szCs w:val="18"/>
        </w:rPr>
        <w:fldChar w:fldCharType="separate"/>
      </w:r>
      <w:r w:rsidRPr="00A05A75">
        <w:rPr>
          <w:rFonts w:ascii="Times New Roman" w:hAnsi="Times New Roman" w:cs="Times New Roman"/>
          <w:noProof/>
          <w:sz w:val="18"/>
          <w:szCs w:val="18"/>
        </w:rPr>
        <w:t xml:space="preserve">Siswanto Sunarso, </w:t>
      </w:r>
      <w:r w:rsidRPr="00A05A75">
        <w:rPr>
          <w:rFonts w:ascii="Times New Roman" w:hAnsi="Times New Roman" w:cs="Times New Roman"/>
          <w:i/>
          <w:noProof/>
          <w:sz w:val="18"/>
          <w:szCs w:val="18"/>
        </w:rPr>
        <w:t>Viktimologi Dalam Sistem Peradilan Pidana</w:t>
      </w:r>
      <w:r w:rsidRPr="00A05A75">
        <w:rPr>
          <w:rFonts w:ascii="Times New Roman" w:hAnsi="Times New Roman" w:cs="Times New Roman"/>
          <w:noProof/>
          <w:sz w:val="18"/>
          <w:szCs w:val="18"/>
        </w:rPr>
        <w:t xml:space="preserve"> (Jakarta: Sinar grafika, 2014).</w:t>
      </w:r>
      <w:r w:rsidRPr="00A05A75">
        <w:rPr>
          <w:rFonts w:ascii="Times New Roman" w:hAnsi="Times New Roman" w:cs="Times New Roman"/>
          <w:sz w:val="18"/>
          <w:szCs w:val="18"/>
        </w:rPr>
        <w:fldChar w:fldCharType="end"/>
      </w:r>
    </w:p>
  </w:footnote>
  <w:footnote w:id="23">
    <w:p w14:paraId="26DB5A92" w14:textId="52C0AF6D" w:rsidR="0014246A" w:rsidRDefault="0014246A" w:rsidP="0014246A">
      <w:pPr>
        <w:pStyle w:val="FootnoteText"/>
        <w:ind w:left="720" w:hanging="720"/>
        <w:jc w:val="both"/>
      </w:pPr>
      <w:r>
        <w:rPr>
          <w:rStyle w:val="FootnoteReference"/>
        </w:rPr>
        <w:footnoteRef/>
      </w:r>
      <w:r>
        <w:t xml:space="preserve"> </w:t>
      </w:r>
      <w:r w:rsidRPr="0014246A">
        <w:rPr>
          <w:rFonts w:ascii="Times New Roman" w:hAnsi="Times New Roman" w:cs="Times New Roman"/>
          <w:sz w:val="18"/>
          <w:szCs w:val="18"/>
        </w:rPr>
        <w:fldChar w:fldCharType="begin" w:fldLock="1"/>
      </w:r>
      <w:r w:rsidR="009756EF">
        <w:rPr>
          <w:rFonts w:ascii="Times New Roman" w:hAnsi="Times New Roman" w:cs="Times New Roman"/>
          <w:sz w:val="18"/>
          <w:szCs w:val="18"/>
        </w:rPr>
        <w:instrText>ADDIN CSL_CITATION {"citationItems":[{"id":"ITEM-1","itemData":{"author":[{"dropping-particle":"","family":"Artadi","given":"Ibnu","non-dropping-particle":"","parse-names":false,"suffix":""}],"container-title":"jurnal hukum pro justitia","id":"ITEM-1","issued":{"date-parts":[["2016"]]},"title":"menggugat efektivitas penerapan pidana penjara pendek menuju suatu proses peradilan yang humanis","type":"article-journal","volume":"vol. 24 No"},"uris":["http://www.mendeley.com/documents/?uuid=f5383d95-60c0-4ea7-aad8-d4404d50d29f"]}],"mendeley":{"formattedCitation":"Ibnu Artadi, “Menggugat Efektivitas Penerapan Pidana Penjara Pendek Menuju Suatu Proses Peradilan Yang Humanis,” &lt;i&gt;Jurnal Hukum pro Justitia&lt;/i&gt; 24 No (2016).","plainTextFormattedCitation":"Ibnu Artadi, “Menggugat Efektivitas Penerapan Pidana Penjara Pendek Menuju Suatu Proses Peradilan Yang Humanis,” Jurnal Hukum pro Justitia 24 No (2016).","previouslyFormattedCitation":"Ibnu Artadi, “Menggugat Efektivitas Penerapan Pidana Penjara Pendek Menuju Suatu Proses Peradilan Yang Humanis,” &lt;i&gt;Jurnal Hukum pro Justitia&lt;/i&gt; 24 No (2016)."},"properties":{"noteIndex":23},"schema":"https://github.com/citation-style-language/schema/raw/master/csl-citation.json"}</w:instrText>
      </w:r>
      <w:r w:rsidRPr="0014246A">
        <w:rPr>
          <w:rFonts w:ascii="Times New Roman" w:hAnsi="Times New Roman" w:cs="Times New Roman"/>
          <w:sz w:val="18"/>
          <w:szCs w:val="18"/>
        </w:rPr>
        <w:fldChar w:fldCharType="separate"/>
      </w:r>
      <w:r w:rsidRPr="0014246A">
        <w:rPr>
          <w:rFonts w:ascii="Times New Roman" w:hAnsi="Times New Roman" w:cs="Times New Roman"/>
          <w:noProof/>
          <w:sz w:val="18"/>
          <w:szCs w:val="18"/>
        </w:rPr>
        <w:t xml:space="preserve">Ibnu Artadi, “Menggugat Efektivitas Penerapan Pidana Penjara Pendek Menuju Suatu Proses Peradilan Yang Humanis,” </w:t>
      </w:r>
      <w:r w:rsidRPr="0014246A">
        <w:rPr>
          <w:rFonts w:ascii="Times New Roman" w:hAnsi="Times New Roman" w:cs="Times New Roman"/>
          <w:i/>
          <w:noProof/>
          <w:sz w:val="18"/>
          <w:szCs w:val="18"/>
        </w:rPr>
        <w:t>Jurnal Hukum pro Justitia</w:t>
      </w:r>
      <w:r w:rsidRPr="0014246A">
        <w:rPr>
          <w:rFonts w:ascii="Times New Roman" w:hAnsi="Times New Roman" w:cs="Times New Roman"/>
          <w:noProof/>
          <w:sz w:val="18"/>
          <w:szCs w:val="18"/>
        </w:rPr>
        <w:t xml:space="preserve"> 24 No (2016).</w:t>
      </w:r>
      <w:r w:rsidRPr="0014246A">
        <w:rPr>
          <w:rFonts w:ascii="Times New Roman" w:hAnsi="Times New Roman" w:cs="Times New Roman"/>
          <w:sz w:val="18"/>
          <w:szCs w:val="18"/>
        </w:rPr>
        <w:fldChar w:fldCharType="end"/>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C1919"/>
    <w:multiLevelType w:val="hybridMultilevel"/>
    <w:tmpl w:val="03145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B0102C"/>
    <w:multiLevelType w:val="hybridMultilevel"/>
    <w:tmpl w:val="030C5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27"/>
    <w:rsid w:val="00001557"/>
    <w:rsid w:val="00001FB4"/>
    <w:rsid w:val="00005A8F"/>
    <w:rsid w:val="000061F0"/>
    <w:rsid w:val="00006DB9"/>
    <w:rsid w:val="00011BD8"/>
    <w:rsid w:val="00020853"/>
    <w:rsid w:val="00020BD4"/>
    <w:rsid w:val="00023540"/>
    <w:rsid w:val="00026988"/>
    <w:rsid w:val="0003226A"/>
    <w:rsid w:val="00035EF2"/>
    <w:rsid w:val="00043335"/>
    <w:rsid w:val="0004680A"/>
    <w:rsid w:val="00052804"/>
    <w:rsid w:val="00052F7C"/>
    <w:rsid w:val="00053F94"/>
    <w:rsid w:val="00054640"/>
    <w:rsid w:val="00054FE7"/>
    <w:rsid w:val="000552F9"/>
    <w:rsid w:val="00055867"/>
    <w:rsid w:val="000562E4"/>
    <w:rsid w:val="00057A8A"/>
    <w:rsid w:val="0006302E"/>
    <w:rsid w:val="00063F8E"/>
    <w:rsid w:val="00066F1E"/>
    <w:rsid w:val="00072D35"/>
    <w:rsid w:val="00075149"/>
    <w:rsid w:val="0007710A"/>
    <w:rsid w:val="00077FB5"/>
    <w:rsid w:val="000816BE"/>
    <w:rsid w:val="00083006"/>
    <w:rsid w:val="00083E82"/>
    <w:rsid w:val="00092AF5"/>
    <w:rsid w:val="00093FCC"/>
    <w:rsid w:val="000953CA"/>
    <w:rsid w:val="00095C3E"/>
    <w:rsid w:val="000A2707"/>
    <w:rsid w:val="000A4847"/>
    <w:rsid w:val="000B15D6"/>
    <w:rsid w:val="000B2171"/>
    <w:rsid w:val="000B2723"/>
    <w:rsid w:val="000C1577"/>
    <w:rsid w:val="000C166F"/>
    <w:rsid w:val="000C220C"/>
    <w:rsid w:val="000C326A"/>
    <w:rsid w:val="000C4D7A"/>
    <w:rsid w:val="000C62F9"/>
    <w:rsid w:val="000C7092"/>
    <w:rsid w:val="000D0DE7"/>
    <w:rsid w:val="000D3D68"/>
    <w:rsid w:val="000D7E1B"/>
    <w:rsid w:val="000E7397"/>
    <w:rsid w:val="000F06EB"/>
    <w:rsid w:val="000F141E"/>
    <w:rsid w:val="000F1C9C"/>
    <w:rsid w:val="000F3C7D"/>
    <w:rsid w:val="000F54CB"/>
    <w:rsid w:val="00103A7E"/>
    <w:rsid w:val="00103E8E"/>
    <w:rsid w:val="00104955"/>
    <w:rsid w:val="00107493"/>
    <w:rsid w:val="00110B20"/>
    <w:rsid w:val="00110C34"/>
    <w:rsid w:val="00111148"/>
    <w:rsid w:val="001111CB"/>
    <w:rsid w:val="001137DA"/>
    <w:rsid w:val="001170E0"/>
    <w:rsid w:val="00121715"/>
    <w:rsid w:val="001244A8"/>
    <w:rsid w:val="00132A52"/>
    <w:rsid w:val="00132A5D"/>
    <w:rsid w:val="001342C1"/>
    <w:rsid w:val="0013742F"/>
    <w:rsid w:val="0014048A"/>
    <w:rsid w:val="0014246A"/>
    <w:rsid w:val="00145F0F"/>
    <w:rsid w:val="00147165"/>
    <w:rsid w:val="001478FD"/>
    <w:rsid w:val="00147B61"/>
    <w:rsid w:val="00150833"/>
    <w:rsid w:val="00150A6C"/>
    <w:rsid w:val="00153A82"/>
    <w:rsid w:val="00162110"/>
    <w:rsid w:val="00164EB8"/>
    <w:rsid w:val="00165741"/>
    <w:rsid w:val="00173429"/>
    <w:rsid w:val="00173E1B"/>
    <w:rsid w:val="00174A9F"/>
    <w:rsid w:val="00176987"/>
    <w:rsid w:val="0017733B"/>
    <w:rsid w:val="00177F6E"/>
    <w:rsid w:val="00182048"/>
    <w:rsid w:val="00182A22"/>
    <w:rsid w:val="00185330"/>
    <w:rsid w:val="001870D7"/>
    <w:rsid w:val="00187797"/>
    <w:rsid w:val="001907B3"/>
    <w:rsid w:val="00191FC0"/>
    <w:rsid w:val="00194AF5"/>
    <w:rsid w:val="00196F3B"/>
    <w:rsid w:val="001978AD"/>
    <w:rsid w:val="001A06EC"/>
    <w:rsid w:val="001A074E"/>
    <w:rsid w:val="001A12EA"/>
    <w:rsid w:val="001A2600"/>
    <w:rsid w:val="001A4435"/>
    <w:rsid w:val="001B05C1"/>
    <w:rsid w:val="001B07C3"/>
    <w:rsid w:val="001B3BE3"/>
    <w:rsid w:val="001B5827"/>
    <w:rsid w:val="001B7FBD"/>
    <w:rsid w:val="001C1C4C"/>
    <w:rsid w:val="001C2D7B"/>
    <w:rsid w:val="001C40DD"/>
    <w:rsid w:val="001C418B"/>
    <w:rsid w:val="001C5020"/>
    <w:rsid w:val="001C52A7"/>
    <w:rsid w:val="001D0AFE"/>
    <w:rsid w:val="001D458F"/>
    <w:rsid w:val="001D7AB8"/>
    <w:rsid w:val="001E1930"/>
    <w:rsid w:val="001E2063"/>
    <w:rsid w:val="001E4D66"/>
    <w:rsid w:val="001E6368"/>
    <w:rsid w:val="001E6E76"/>
    <w:rsid w:val="001E7643"/>
    <w:rsid w:val="001F1349"/>
    <w:rsid w:val="001F1D05"/>
    <w:rsid w:val="001F4FDE"/>
    <w:rsid w:val="001F5A41"/>
    <w:rsid w:val="001F7720"/>
    <w:rsid w:val="00200A62"/>
    <w:rsid w:val="00201356"/>
    <w:rsid w:val="0020170E"/>
    <w:rsid w:val="00201905"/>
    <w:rsid w:val="00202899"/>
    <w:rsid w:val="00203351"/>
    <w:rsid w:val="002036E4"/>
    <w:rsid w:val="0020430F"/>
    <w:rsid w:val="002152C8"/>
    <w:rsid w:val="002158A6"/>
    <w:rsid w:val="00220801"/>
    <w:rsid w:val="0022468E"/>
    <w:rsid w:val="00226A2F"/>
    <w:rsid w:val="00231665"/>
    <w:rsid w:val="00232B96"/>
    <w:rsid w:val="00235868"/>
    <w:rsid w:val="00236F7A"/>
    <w:rsid w:val="00241D72"/>
    <w:rsid w:val="00242E0B"/>
    <w:rsid w:val="00242E12"/>
    <w:rsid w:val="0024431C"/>
    <w:rsid w:val="0025088D"/>
    <w:rsid w:val="0025150D"/>
    <w:rsid w:val="00252F9B"/>
    <w:rsid w:val="00253177"/>
    <w:rsid w:val="002565F0"/>
    <w:rsid w:val="002571BE"/>
    <w:rsid w:val="00257C27"/>
    <w:rsid w:val="002602AB"/>
    <w:rsid w:val="00264C35"/>
    <w:rsid w:val="002703A5"/>
    <w:rsid w:val="00275FBA"/>
    <w:rsid w:val="00277AEF"/>
    <w:rsid w:val="0028511D"/>
    <w:rsid w:val="00286855"/>
    <w:rsid w:val="00295BF8"/>
    <w:rsid w:val="002979C4"/>
    <w:rsid w:val="002A0D95"/>
    <w:rsid w:val="002A313D"/>
    <w:rsid w:val="002A550A"/>
    <w:rsid w:val="002A79CF"/>
    <w:rsid w:val="002B0F1F"/>
    <w:rsid w:val="002B2F21"/>
    <w:rsid w:val="002B4FA0"/>
    <w:rsid w:val="002B5EB2"/>
    <w:rsid w:val="002B6EA7"/>
    <w:rsid w:val="002C3860"/>
    <w:rsid w:val="002C6471"/>
    <w:rsid w:val="002D0670"/>
    <w:rsid w:val="002D3229"/>
    <w:rsid w:val="002E06D7"/>
    <w:rsid w:val="002E0C6F"/>
    <w:rsid w:val="002E25BF"/>
    <w:rsid w:val="002E2A9E"/>
    <w:rsid w:val="002F2A1A"/>
    <w:rsid w:val="002F433F"/>
    <w:rsid w:val="002F49F3"/>
    <w:rsid w:val="002F4D8C"/>
    <w:rsid w:val="002F5240"/>
    <w:rsid w:val="002F7B09"/>
    <w:rsid w:val="00300F60"/>
    <w:rsid w:val="003029A0"/>
    <w:rsid w:val="003039C0"/>
    <w:rsid w:val="0030766D"/>
    <w:rsid w:val="00307BB9"/>
    <w:rsid w:val="00311175"/>
    <w:rsid w:val="003120C6"/>
    <w:rsid w:val="003136FA"/>
    <w:rsid w:val="00314EE2"/>
    <w:rsid w:val="0031798F"/>
    <w:rsid w:val="003224F9"/>
    <w:rsid w:val="003229D9"/>
    <w:rsid w:val="00330C12"/>
    <w:rsid w:val="00334906"/>
    <w:rsid w:val="00337494"/>
    <w:rsid w:val="00343817"/>
    <w:rsid w:val="00345562"/>
    <w:rsid w:val="0034701A"/>
    <w:rsid w:val="003537B0"/>
    <w:rsid w:val="00354EDA"/>
    <w:rsid w:val="00355AA1"/>
    <w:rsid w:val="003617ED"/>
    <w:rsid w:val="00361A99"/>
    <w:rsid w:val="00363694"/>
    <w:rsid w:val="0036494F"/>
    <w:rsid w:val="0036498F"/>
    <w:rsid w:val="00364D53"/>
    <w:rsid w:val="00372DC0"/>
    <w:rsid w:val="00373F9E"/>
    <w:rsid w:val="0037553D"/>
    <w:rsid w:val="003756BC"/>
    <w:rsid w:val="00381300"/>
    <w:rsid w:val="003873BF"/>
    <w:rsid w:val="0038768F"/>
    <w:rsid w:val="0039045D"/>
    <w:rsid w:val="00390C76"/>
    <w:rsid w:val="003926FF"/>
    <w:rsid w:val="00392D1C"/>
    <w:rsid w:val="003A086F"/>
    <w:rsid w:val="003A1370"/>
    <w:rsid w:val="003A15C6"/>
    <w:rsid w:val="003A4EFE"/>
    <w:rsid w:val="003B181A"/>
    <w:rsid w:val="003B1D76"/>
    <w:rsid w:val="003B54DB"/>
    <w:rsid w:val="003C4B73"/>
    <w:rsid w:val="003C75BB"/>
    <w:rsid w:val="003C762F"/>
    <w:rsid w:val="003C777A"/>
    <w:rsid w:val="003D03C6"/>
    <w:rsid w:val="003D6841"/>
    <w:rsid w:val="003E0B21"/>
    <w:rsid w:val="003E12B6"/>
    <w:rsid w:val="003E206E"/>
    <w:rsid w:val="003E51E7"/>
    <w:rsid w:val="003E6C19"/>
    <w:rsid w:val="003E71E4"/>
    <w:rsid w:val="003F2EDD"/>
    <w:rsid w:val="003F65EB"/>
    <w:rsid w:val="003F6A41"/>
    <w:rsid w:val="00403B35"/>
    <w:rsid w:val="00403E0A"/>
    <w:rsid w:val="004047B5"/>
    <w:rsid w:val="0041437A"/>
    <w:rsid w:val="0041696E"/>
    <w:rsid w:val="00421BEF"/>
    <w:rsid w:val="00425641"/>
    <w:rsid w:val="00427BAC"/>
    <w:rsid w:val="00430CF9"/>
    <w:rsid w:val="0043293E"/>
    <w:rsid w:val="004404BB"/>
    <w:rsid w:val="0044083A"/>
    <w:rsid w:val="00441DB7"/>
    <w:rsid w:val="0044380E"/>
    <w:rsid w:val="00445505"/>
    <w:rsid w:val="004461CB"/>
    <w:rsid w:val="00446806"/>
    <w:rsid w:val="00454E1D"/>
    <w:rsid w:val="00457E40"/>
    <w:rsid w:val="00473030"/>
    <w:rsid w:val="0048191F"/>
    <w:rsid w:val="004854D3"/>
    <w:rsid w:val="004858DE"/>
    <w:rsid w:val="00487A5A"/>
    <w:rsid w:val="00487B52"/>
    <w:rsid w:val="0049435F"/>
    <w:rsid w:val="00497997"/>
    <w:rsid w:val="004A62B3"/>
    <w:rsid w:val="004A6520"/>
    <w:rsid w:val="004A659D"/>
    <w:rsid w:val="004A7B8D"/>
    <w:rsid w:val="004B0A2F"/>
    <w:rsid w:val="004B0CCB"/>
    <w:rsid w:val="004B2775"/>
    <w:rsid w:val="004B4718"/>
    <w:rsid w:val="004B4BA4"/>
    <w:rsid w:val="004C0037"/>
    <w:rsid w:val="004C2E50"/>
    <w:rsid w:val="004D1881"/>
    <w:rsid w:val="004D7491"/>
    <w:rsid w:val="004E21ED"/>
    <w:rsid w:val="004E3C95"/>
    <w:rsid w:val="004E5A08"/>
    <w:rsid w:val="004E5AFC"/>
    <w:rsid w:val="004E5E04"/>
    <w:rsid w:val="004F1DAE"/>
    <w:rsid w:val="004F61FE"/>
    <w:rsid w:val="004F6B9B"/>
    <w:rsid w:val="004F7429"/>
    <w:rsid w:val="00501378"/>
    <w:rsid w:val="00502B9F"/>
    <w:rsid w:val="00503375"/>
    <w:rsid w:val="00503660"/>
    <w:rsid w:val="00507C57"/>
    <w:rsid w:val="00511C5F"/>
    <w:rsid w:val="00512DCF"/>
    <w:rsid w:val="00515C46"/>
    <w:rsid w:val="00517575"/>
    <w:rsid w:val="00517869"/>
    <w:rsid w:val="00520BAE"/>
    <w:rsid w:val="00527012"/>
    <w:rsid w:val="005309E7"/>
    <w:rsid w:val="00530FD7"/>
    <w:rsid w:val="0053152F"/>
    <w:rsid w:val="00533137"/>
    <w:rsid w:val="005332D5"/>
    <w:rsid w:val="00535B8E"/>
    <w:rsid w:val="00536EFA"/>
    <w:rsid w:val="005441C3"/>
    <w:rsid w:val="00552610"/>
    <w:rsid w:val="00553843"/>
    <w:rsid w:val="005549E2"/>
    <w:rsid w:val="0055695D"/>
    <w:rsid w:val="005572F2"/>
    <w:rsid w:val="00560329"/>
    <w:rsid w:val="005626D0"/>
    <w:rsid w:val="00563346"/>
    <w:rsid w:val="0056488D"/>
    <w:rsid w:val="00564AD0"/>
    <w:rsid w:val="005677CB"/>
    <w:rsid w:val="00574BEB"/>
    <w:rsid w:val="00575EA3"/>
    <w:rsid w:val="0057662C"/>
    <w:rsid w:val="005807A2"/>
    <w:rsid w:val="00580A98"/>
    <w:rsid w:val="005814E0"/>
    <w:rsid w:val="005824FE"/>
    <w:rsid w:val="00583D95"/>
    <w:rsid w:val="005A15F7"/>
    <w:rsid w:val="005A164E"/>
    <w:rsid w:val="005A6BF0"/>
    <w:rsid w:val="005B59FC"/>
    <w:rsid w:val="005B67DD"/>
    <w:rsid w:val="005B7904"/>
    <w:rsid w:val="005C1EAB"/>
    <w:rsid w:val="005C4CFD"/>
    <w:rsid w:val="005C78EB"/>
    <w:rsid w:val="005D14F3"/>
    <w:rsid w:val="005D2645"/>
    <w:rsid w:val="005D3117"/>
    <w:rsid w:val="005D4F3D"/>
    <w:rsid w:val="005D729C"/>
    <w:rsid w:val="005E0C17"/>
    <w:rsid w:val="005E5952"/>
    <w:rsid w:val="005F051B"/>
    <w:rsid w:val="005F08E0"/>
    <w:rsid w:val="00601E27"/>
    <w:rsid w:val="0060220A"/>
    <w:rsid w:val="00602D20"/>
    <w:rsid w:val="00603E05"/>
    <w:rsid w:val="006046D5"/>
    <w:rsid w:val="00606C44"/>
    <w:rsid w:val="00606D09"/>
    <w:rsid w:val="00613DD0"/>
    <w:rsid w:val="006147D9"/>
    <w:rsid w:val="00616EBD"/>
    <w:rsid w:val="0061789E"/>
    <w:rsid w:val="00620735"/>
    <w:rsid w:val="006225DC"/>
    <w:rsid w:val="006230C4"/>
    <w:rsid w:val="00627C53"/>
    <w:rsid w:val="00632356"/>
    <w:rsid w:val="00634E56"/>
    <w:rsid w:val="006351D3"/>
    <w:rsid w:val="00637958"/>
    <w:rsid w:val="0064555B"/>
    <w:rsid w:val="00645B75"/>
    <w:rsid w:val="0064766C"/>
    <w:rsid w:val="006572D6"/>
    <w:rsid w:val="00661B06"/>
    <w:rsid w:val="00662E4E"/>
    <w:rsid w:val="00663634"/>
    <w:rsid w:val="00664B88"/>
    <w:rsid w:val="00670B1C"/>
    <w:rsid w:val="00672263"/>
    <w:rsid w:val="006813CB"/>
    <w:rsid w:val="00685FA2"/>
    <w:rsid w:val="00691FEA"/>
    <w:rsid w:val="00695604"/>
    <w:rsid w:val="006A3663"/>
    <w:rsid w:val="006A4FBB"/>
    <w:rsid w:val="006B076F"/>
    <w:rsid w:val="006B2B1A"/>
    <w:rsid w:val="006B4F00"/>
    <w:rsid w:val="006C2229"/>
    <w:rsid w:val="006C359E"/>
    <w:rsid w:val="006C6819"/>
    <w:rsid w:val="006C77F2"/>
    <w:rsid w:val="006C7F1E"/>
    <w:rsid w:val="006D11A6"/>
    <w:rsid w:val="006D2BC0"/>
    <w:rsid w:val="006D5089"/>
    <w:rsid w:val="006D7B7B"/>
    <w:rsid w:val="006E3732"/>
    <w:rsid w:val="006E4DED"/>
    <w:rsid w:val="006F3A18"/>
    <w:rsid w:val="006F4E29"/>
    <w:rsid w:val="006F5589"/>
    <w:rsid w:val="006F6DC2"/>
    <w:rsid w:val="006F6F97"/>
    <w:rsid w:val="00700697"/>
    <w:rsid w:val="00702C67"/>
    <w:rsid w:val="00702D9A"/>
    <w:rsid w:val="00703362"/>
    <w:rsid w:val="00703585"/>
    <w:rsid w:val="00704D3C"/>
    <w:rsid w:val="007057C1"/>
    <w:rsid w:val="00706E04"/>
    <w:rsid w:val="00711C03"/>
    <w:rsid w:val="007167D7"/>
    <w:rsid w:val="00723B00"/>
    <w:rsid w:val="007258EE"/>
    <w:rsid w:val="00730BD1"/>
    <w:rsid w:val="00732C13"/>
    <w:rsid w:val="007337ED"/>
    <w:rsid w:val="00734D7B"/>
    <w:rsid w:val="00740482"/>
    <w:rsid w:val="00741824"/>
    <w:rsid w:val="007422BF"/>
    <w:rsid w:val="0074285C"/>
    <w:rsid w:val="00744EEC"/>
    <w:rsid w:val="007454ED"/>
    <w:rsid w:val="00747648"/>
    <w:rsid w:val="00750A53"/>
    <w:rsid w:val="00750E90"/>
    <w:rsid w:val="00754D3F"/>
    <w:rsid w:val="00756393"/>
    <w:rsid w:val="00762172"/>
    <w:rsid w:val="00763956"/>
    <w:rsid w:val="0076407F"/>
    <w:rsid w:val="0076570D"/>
    <w:rsid w:val="00765F70"/>
    <w:rsid w:val="00766B43"/>
    <w:rsid w:val="0076762F"/>
    <w:rsid w:val="00767B51"/>
    <w:rsid w:val="007720A5"/>
    <w:rsid w:val="00772CB1"/>
    <w:rsid w:val="00773F04"/>
    <w:rsid w:val="00774149"/>
    <w:rsid w:val="00774504"/>
    <w:rsid w:val="00781E65"/>
    <w:rsid w:val="007845F2"/>
    <w:rsid w:val="007868D9"/>
    <w:rsid w:val="007955DC"/>
    <w:rsid w:val="00796488"/>
    <w:rsid w:val="007A3A54"/>
    <w:rsid w:val="007B034A"/>
    <w:rsid w:val="007B4F0B"/>
    <w:rsid w:val="007C0686"/>
    <w:rsid w:val="007C1D90"/>
    <w:rsid w:val="007C254A"/>
    <w:rsid w:val="007C4761"/>
    <w:rsid w:val="007C7CF9"/>
    <w:rsid w:val="007D0BC9"/>
    <w:rsid w:val="007D1166"/>
    <w:rsid w:val="007D3B03"/>
    <w:rsid w:val="007D5719"/>
    <w:rsid w:val="007D795B"/>
    <w:rsid w:val="007D7E4D"/>
    <w:rsid w:val="007E3052"/>
    <w:rsid w:val="007E6146"/>
    <w:rsid w:val="007E7317"/>
    <w:rsid w:val="007E779A"/>
    <w:rsid w:val="007F0B49"/>
    <w:rsid w:val="007F3332"/>
    <w:rsid w:val="007F3E1E"/>
    <w:rsid w:val="007F4627"/>
    <w:rsid w:val="007F4D27"/>
    <w:rsid w:val="007F5676"/>
    <w:rsid w:val="007F76B6"/>
    <w:rsid w:val="00806086"/>
    <w:rsid w:val="00806768"/>
    <w:rsid w:val="0080717D"/>
    <w:rsid w:val="0081226A"/>
    <w:rsid w:val="008136AD"/>
    <w:rsid w:val="00813802"/>
    <w:rsid w:val="0081651D"/>
    <w:rsid w:val="00817856"/>
    <w:rsid w:val="008202A5"/>
    <w:rsid w:val="00820541"/>
    <w:rsid w:val="008236FA"/>
    <w:rsid w:val="00824A1C"/>
    <w:rsid w:val="00825AD2"/>
    <w:rsid w:val="00826AD2"/>
    <w:rsid w:val="00827854"/>
    <w:rsid w:val="00834B44"/>
    <w:rsid w:val="00835793"/>
    <w:rsid w:val="00835850"/>
    <w:rsid w:val="00840A9F"/>
    <w:rsid w:val="00842092"/>
    <w:rsid w:val="00846B02"/>
    <w:rsid w:val="00847BFB"/>
    <w:rsid w:val="00847C30"/>
    <w:rsid w:val="00852F6F"/>
    <w:rsid w:val="00854D0D"/>
    <w:rsid w:val="008560E6"/>
    <w:rsid w:val="00856C6F"/>
    <w:rsid w:val="00864894"/>
    <w:rsid w:val="008649E2"/>
    <w:rsid w:val="00870E96"/>
    <w:rsid w:val="008728EA"/>
    <w:rsid w:val="008743A2"/>
    <w:rsid w:val="00874CBA"/>
    <w:rsid w:val="008755BB"/>
    <w:rsid w:val="00875B4C"/>
    <w:rsid w:val="00876761"/>
    <w:rsid w:val="008800E1"/>
    <w:rsid w:val="00883918"/>
    <w:rsid w:val="00887E74"/>
    <w:rsid w:val="008929F8"/>
    <w:rsid w:val="00892CE5"/>
    <w:rsid w:val="00895FE7"/>
    <w:rsid w:val="00897FAF"/>
    <w:rsid w:val="008A1626"/>
    <w:rsid w:val="008A1AC0"/>
    <w:rsid w:val="008A1EA1"/>
    <w:rsid w:val="008A239F"/>
    <w:rsid w:val="008A441F"/>
    <w:rsid w:val="008A7CEB"/>
    <w:rsid w:val="008B11F8"/>
    <w:rsid w:val="008B3471"/>
    <w:rsid w:val="008B4FD0"/>
    <w:rsid w:val="008B72F3"/>
    <w:rsid w:val="008C005A"/>
    <w:rsid w:val="008C4EF1"/>
    <w:rsid w:val="008C5A61"/>
    <w:rsid w:val="008D0566"/>
    <w:rsid w:val="008D1934"/>
    <w:rsid w:val="008D2EB3"/>
    <w:rsid w:val="008D32E8"/>
    <w:rsid w:val="008D335B"/>
    <w:rsid w:val="008D3863"/>
    <w:rsid w:val="008D4CBA"/>
    <w:rsid w:val="008E0A5A"/>
    <w:rsid w:val="008E0E2E"/>
    <w:rsid w:val="008E19D6"/>
    <w:rsid w:val="008E33FF"/>
    <w:rsid w:val="008E7F24"/>
    <w:rsid w:val="008F0C31"/>
    <w:rsid w:val="008F1BA9"/>
    <w:rsid w:val="008F2411"/>
    <w:rsid w:val="008F2C68"/>
    <w:rsid w:val="008F6F7D"/>
    <w:rsid w:val="00901B5E"/>
    <w:rsid w:val="00907D51"/>
    <w:rsid w:val="00910186"/>
    <w:rsid w:val="00911C67"/>
    <w:rsid w:val="009143D5"/>
    <w:rsid w:val="00917A3B"/>
    <w:rsid w:val="00923A97"/>
    <w:rsid w:val="009303D4"/>
    <w:rsid w:val="009304D0"/>
    <w:rsid w:val="00932445"/>
    <w:rsid w:val="009329F8"/>
    <w:rsid w:val="00934CF0"/>
    <w:rsid w:val="00937F3F"/>
    <w:rsid w:val="009412D7"/>
    <w:rsid w:val="00951355"/>
    <w:rsid w:val="0095201B"/>
    <w:rsid w:val="009526D1"/>
    <w:rsid w:val="00956C55"/>
    <w:rsid w:val="009630F9"/>
    <w:rsid w:val="009666F7"/>
    <w:rsid w:val="0097466E"/>
    <w:rsid w:val="009756EF"/>
    <w:rsid w:val="00975F23"/>
    <w:rsid w:val="0097607D"/>
    <w:rsid w:val="00977DE9"/>
    <w:rsid w:val="009811F1"/>
    <w:rsid w:val="00983895"/>
    <w:rsid w:val="00985C43"/>
    <w:rsid w:val="00986D35"/>
    <w:rsid w:val="00986EEF"/>
    <w:rsid w:val="00987DB5"/>
    <w:rsid w:val="00990795"/>
    <w:rsid w:val="0099334A"/>
    <w:rsid w:val="00997A7F"/>
    <w:rsid w:val="009A5FA5"/>
    <w:rsid w:val="009A6FCA"/>
    <w:rsid w:val="009A774D"/>
    <w:rsid w:val="009B06A9"/>
    <w:rsid w:val="009B515B"/>
    <w:rsid w:val="009B5F78"/>
    <w:rsid w:val="009C1066"/>
    <w:rsid w:val="009C3C15"/>
    <w:rsid w:val="009D020B"/>
    <w:rsid w:val="009D02BC"/>
    <w:rsid w:val="009D236D"/>
    <w:rsid w:val="009D27E6"/>
    <w:rsid w:val="009E19D4"/>
    <w:rsid w:val="009E6F08"/>
    <w:rsid w:val="009E7723"/>
    <w:rsid w:val="009F3900"/>
    <w:rsid w:val="009F4FAA"/>
    <w:rsid w:val="009F5E1B"/>
    <w:rsid w:val="009F7F87"/>
    <w:rsid w:val="00A00CD7"/>
    <w:rsid w:val="00A02464"/>
    <w:rsid w:val="00A05A75"/>
    <w:rsid w:val="00A06335"/>
    <w:rsid w:val="00A0758E"/>
    <w:rsid w:val="00A11AF6"/>
    <w:rsid w:val="00A12326"/>
    <w:rsid w:val="00A154C8"/>
    <w:rsid w:val="00A212FE"/>
    <w:rsid w:val="00A240A3"/>
    <w:rsid w:val="00A24943"/>
    <w:rsid w:val="00A255F5"/>
    <w:rsid w:val="00A2631B"/>
    <w:rsid w:val="00A35816"/>
    <w:rsid w:val="00A4425B"/>
    <w:rsid w:val="00A44550"/>
    <w:rsid w:val="00A50E8E"/>
    <w:rsid w:val="00A53B52"/>
    <w:rsid w:val="00A56384"/>
    <w:rsid w:val="00A56DD2"/>
    <w:rsid w:val="00A602FC"/>
    <w:rsid w:val="00A61944"/>
    <w:rsid w:val="00A6277E"/>
    <w:rsid w:val="00A63A11"/>
    <w:rsid w:val="00A663B0"/>
    <w:rsid w:val="00A67BD4"/>
    <w:rsid w:val="00A7146E"/>
    <w:rsid w:val="00A71AFC"/>
    <w:rsid w:val="00A733CF"/>
    <w:rsid w:val="00A73580"/>
    <w:rsid w:val="00A76E62"/>
    <w:rsid w:val="00A803E6"/>
    <w:rsid w:val="00A82569"/>
    <w:rsid w:val="00A83BB6"/>
    <w:rsid w:val="00A929DE"/>
    <w:rsid w:val="00A943AD"/>
    <w:rsid w:val="00A964A0"/>
    <w:rsid w:val="00A96D40"/>
    <w:rsid w:val="00AA0556"/>
    <w:rsid w:val="00AA3629"/>
    <w:rsid w:val="00AB1A63"/>
    <w:rsid w:val="00AB476B"/>
    <w:rsid w:val="00AB4FAB"/>
    <w:rsid w:val="00AB6B57"/>
    <w:rsid w:val="00AC0BDA"/>
    <w:rsid w:val="00AC4C7D"/>
    <w:rsid w:val="00AC551A"/>
    <w:rsid w:val="00AC7D1F"/>
    <w:rsid w:val="00AD019E"/>
    <w:rsid w:val="00AD05D4"/>
    <w:rsid w:val="00AD09C7"/>
    <w:rsid w:val="00AD154B"/>
    <w:rsid w:val="00AD2086"/>
    <w:rsid w:val="00AD2232"/>
    <w:rsid w:val="00AE3821"/>
    <w:rsid w:val="00AF117A"/>
    <w:rsid w:val="00AF3D4A"/>
    <w:rsid w:val="00AF3EA9"/>
    <w:rsid w:val="00AF4B10"/>
    <w:rsid w:val="00AF7AEC"/>
    <w:rsid w:val="00B02762"/>
    <w:rsid w:val="00B07DA0"/>
    <w:rsid w:val="00B1267B"/>
    <w:rsid w:val="00B12D30"/>
    <w:rsid w:val="00B1362F"/>
    <w:rsid w:val="00B147F6"/>
    <w:rsid w:val="00B15181"/>
    <w:rsid w:val="00B15CCE"/>
    <w:rsid w:val="00B21DA4"/>
    <w:rsid w:val="00B26212"/>
    <w:rsid w:val="00B26611"/>
    <w:rsid w:val="00B26D2F"/>
    <w:rsid w:val="00B3056F"/>
    <w:rsid w:val="00B31D57"/>
    <w:rsid w:val="00B33117"/>
    <w:rsid w:val="00B35993"/>
    <w:rsid w:val="00B363D2"/>
    <w:rsid w:val="00B41080"/>
    <w:rsid w:val="00B4788E"/>
    <w:rsid w:val="00B47B34"/>
    <w:rsid w:val="00B504FE"/>
    <w:rsid w:val="00B522CE"/>
    <w:rsid w:val="00B522F4"/>
    <w:rsid w:val="00B5335A"/>
    <w:rsid w:val="00B63128"/>
    <w:rsid w:val="00B669D1"/>
    <w:rsid w:val="00B730B1"/>
    <w:rsid w:val="00B752D5"/>
    <w:rsid w:val="00B753EC"/>
    <w:rsid w:val="00B766DF"/>
    <w:rsid w:val="00B774E1"/>
    <w:rsid w:val="00B7779E"/>
    <w:rsid w:val="00B814D5"/>
    <w:rsid w:val="00B833A1"/>
    <w:rsid w:val="00B83BF3"/>
    <w:rsid w:val="00B85E3C"/>
    <w:rsid w:val="00B872DC"/>
    <w:rsid w:val="00B91C79"/>
    <w:rsid w:val="00B937A4"/>
    <w:rsid w:val="00B93B0D"/>
    <w:rsid w:val="00B958B2"/>
    <w:rsid w:val="00B96D4B"/>
    <w:rsid w:val="00BA1593"/>
    <w:rsid w:val="00BA1B93"/>
    <w:rsid w:val="00BA3633"/>
    <w:rsid w:val="00BB37C0"/>
    <w:rsid w:val="00BC0BFE"/>
    <w:rsid w:val="00BC1E6D"/>
    <w:rsid w:val="00BC2985"/>
    <w:rsid w:val="00BC3139"/>
    <w:rsid w:val="00BC3867"/>
    <w:rsid w:val="00BC3FFF"/>
    <w:rsid w:val="00BC40A7"/>
    <w:rsid w:val="00BC7EAB"/>
    <w:rsid w:val="00BD04B0"/>
    <w:rsid w:val="00BD3724"/>
    <w:rsid w:val="00BD49A3"/>
    <w:rsid w:val="00BD7A16"/>
    <w:rsid w:val="00BE3402"/>
    <w:rsid w:val="00BE43C9"/>
    <w:rsid w:val="00BE4A35"/>
    <w:rsid w:val="00BF3CC0"/>
    <w:rsid w:val="00BF5AEA"/>
    <w:rsid w:val="00BF6542"/>
    <w:rsid w:val="00C06F31"/>
    <w:rsid w:val="00C10704"/>
    <w:rsid w:val="00C129DD"/>
    <w:rsid w:val="00C175A9"/>
    <w:rsid w:val="00C17627"/>
    <w:rsid w:val="00C314D6"/>
    <w:rsid w:val="00C31915"/>
    <w:rsid w:val="00C31F94"/>
    <w:rsid w:val="00C32CD6"/>
    <w:rsid w:val="00C33659"/>
    <w:rsid w:val="00C340F9"/>
    <w:rsid w:val="00C36A22"/>
    <w:rsid w:val="00C40302"/>
    <w:rsid w:val="00C453A9"/>
    <w:rsid w:val="00C4790B"/>
    <w:rsid w:val="00C52E5B"/>
    <w:rsid w:val="00C5328C"/>
    <w:rsid w:val="00C56807"/>
    <w:rsid w:val="00C56B97"/>
    <w:rsid w:val="00C576F2"/>
    <w:rsid w:val="00C60EA6"/>
    <w:rsid w:val="00C61695"/>
    <w:rsid w:val="00C63472"/>
    <w:rsid w:val="00C643B5"/>
    <w:rsid w:val="00C7494C"/>
    <w:rsid w:val="00C768ED"/>
    <w:rsid w:val="00C77F69"/>
    <w:rsid w:val="00C81651"/>
    <w:rsid w:val="00C8605F"/>
    <w:rsid w:val="00C905CA"/>
    <w:rsid w:val="00C91C5F"/>
    <w:rsid w:val="00C93F87"/>
    <w:rsid w:val="00C9475E"/>
    <w:rsid w:val="00C97878"/>
    <w:rsid w:val="00CA3060"/>
    <w:rsid w:val="00CA3A9F"/>
    <w:rsid w:val="00CA579B"/>
    <w:rsid w:val="00CB4A73"/>
    <w:rsid w:val="00CB4B1D"/>
    <w:rsid w:val="00CB69BF"/>
    <w:rsid w:val="00CB73B3"/>
    <w:rsid w:val="00CC134D"/>
    <w:rsid w:val="00CC45D1"/>
    <w:rsid w:val="00CC66F4"/>
    <w:rsid w:val="00CC74CD"/>
    <w:rsid w:val="00CC7A42"/>
    <w:rsid w:val="00CD04AA"/>
    <w:rsid w:val="00CD0727"/>
    <w:rsid w:val="00CD21EB"/>
    <w:rsid w:val="00CD5EA8"/>
    <w:rsid w:val="00CD6ADA"/>
    <w:rsid w:val="00CE04CB"/>
    <w:rsid w:val="00CE15B7"/>
    <w:rsid w:val="00CE2703"/>
    <w:rsid w:val="00CE3DD4"/>
    <w:rsid w:val="00CF21D5"/>
    <w:rsid w:val="00CF5E13"/>
    <w:rsid w:val="00CF5F68"/>
    <w:rsid w:val="00CF7143"/>
    <w:rsid w:val="00D002E5"/>
    <w:rsid w:val="00D00861"/>
    <w:rsid w:val="00D0135B"/>
    <w:rsid w:val="00D02B7E"/>
    <w:rsid w:val="00D04527"/>
    <w:rsid w:val="00D04831"/>
    <w:rsid w:val="00D0565E"/>
    <w:rsid w:val="00D0642D"/>
    <w:rsid w:val="00D10698"/>
    <w:rsid w:val="00D113B5"/>
    <w:rsid w:val="00D14585"/>
    <w:rsid w:val="00D1624E"/>
    <w:rsid w:val="00D1640D"/>
    <w:rsid w:val="00D16728"/>
    <w:rsid w:val="00D21F0F"/>
    <w:rsid w:val="00D228FF"/>
    <w:rsid w:val="00D25BC9"/>
    <w:rsid w:val="00D26C91"/>
    <w:rsid w:val="00D27EE1"/>
    <w:rsid w:val="00D30557"/>
    <w:rsid w:val="00D32869"/>
    <w:rsid w:val="00D32F62"/>
    <w:rsid w:val="00D3332F"/>
    <w:rsid w:val="00D33EDF"/>
    <w:rsid w:val="00D360CB"/>
    <w:rsid w:val="00D423B5"/>
    <w:rsid w:val="00D4443B"/>
    <w:rsid w:val="00D44C15"/>
    <w:rsid w:val="00D44E6F"/>
    <w:rsid w:val="00D453DD"/>
    <w:rsid w:val="00D45F71"/>
    <w:rsid w:val="00D4623E"/>
    <w:rsid w:val="00D47E86"/>
    <w:rsid w:val="00D515C7"/>
    <w:rsid w:val="00D516AF"/>
    <w:rsid w:val="00D5513D"/>
    <w:rsid w:val="00D55253"/>
    <w:rsid w:val="00D5783F"/>
    <w:rsid w:val="00D60736"/>
    <w:rsid w:val="00D64F9D"/>
    <w:rsid w:val="00D65B53"/>
    <w:rsid w:val="00D74EE6"/>
    <w:rsid w:val="00D752F8"/>
    <w:rsid w:val="00D7633B"/>
    <w:rsid w:val="00D809C1"/>
    <w:rsid w:val="00D85224"/>
    <w:rsid w:val="00D907A5"/>
    <w:rsid w:val="00D97453"/>
    <w:rsid w:val="00DA63F6"/>
    <w:rsid w:val="00DA755D"/>
    <w:rsid w:val="00DB1844"/>
    <w:rsid w:val="00DB1A14"/>
    <w:rsid w:val="00DB3641"/>
    <w:rsid w:val="00DB3BFF"/>
    <w:rsid w:val="00DB3E1C"/>
    <w:rsid w:val="00DB5816"/>
    <w:rsid w:val="00DD22BB"/>
    <w:rsid w:val="00DD44BC"/>
    <w:rsid w:val="00DD48A8"/>
    <w:rsid w:val="00DD7E6E"/>
    <w:rsid w:val="00DE07DE"/>
    <w:rsid w:val="00DE08B7"/>
    <w:rsid w:val="00DE28A2"/>
    <w:rsid w:val="00DE4FC1"/>
    <w:rsid w:val="00DF153D"/>
    <w:rsid w:val="00E0002B"/>
    <w:rsid w:val="00E00614"/>
    <w:rsid w:val="00E02727"/>
    <w:rsid w:val="00E03C2B"/>
    <w:rsid w:val="00E046BA"/>
    <w:rsid w:val="00E129FF"/>
    <w:rsid w:val="00E15FBE"/>
    <w:rsid w:val="00E17A75"/>
    <w:rsid w:val="00E205DE"/>
    <w:rsid w:val="00E2275A"/>
    <w:rsid w:val="00E22B35"/>
    <w:rsid w:val="00E267B5"/>
    <w:rsid w:val="00E27866"/>
    <w:rsid w:val="00E34E72"/>
    <w:rsid w:val="00E35685"/>
    <w:rsid w:val="00E35748"/>
    <w:rsid w:val="00E35D18"/>
    <w:rsid w:val="00E3797A"/>
    <w:rsid w:val="00E37FB4"/>
    <w:rsid w:val="00E401F1"/>
    <w:rsid w:val="00E433F1"/>
    <w:rsid w:val="00E56FC7"/>
    <w:rsid w:val="00E604CE"/>
    <w:rsid w:val="00E60F6F"/>
    <w:rsid w:val="00E61A62"/>
    <w:rsid w:val="00E639A5"/>
    <w:rsid w:val="00E67891"/>
    <w:rsid w:val="00E70FD9"/>
    <w:rsid w:val="00E76B27"/>
    <w:rsid w:val="00E81DF9"/>
    <w:rsid w:val="00E8686B"/>
    <w:rsid w:val="00E86D23"/>
    <w:rsid w:val="00E95D15"/>
    <w:rsid w:val="00E9686F"/>
    <w:rsid w:val="00EA4A2D"/>
    <w:rsid w:val="00EA7685"/>
    <w:rsid w:val="00EB2647"/>
    <w:rsid w:val="00EC3DA4"/>
    <w:rsid w:val="00EC74E2"/>
    <w:rsid w:val="00ED1AD2"/>
    <w:rsid w:val="00ED21DD"/>
    <w:rsid w:val="00ED24C3"/>
    <w:rsid w:val="00ED72D4"/>
    <w:rsid w:val="00ED7FC1"/>
    <w:rsid w:val="00EE01E8"/>
    <w:rsid w:val="00EE4AD2"/>
    <w:rsid w:val="00EF0C20"/>
    <w:rsid w:val="00EF11A8"/>
    <w:rsid w:val="00EF5A30"/>
    <w:rsid w:val="00EF7772"/>
    <w:rsid w:val="00F00A66"/>
    <w:rsid w:val="00F0285F"/>
    <w:rsid w:val="00F03923"/>
    <w:rsid w:val="00F05545"/>
    <w:rsid w:val="00F0706D"/>
    <w:rsid w:val="00F117D3"/>
    <w:rsid w:val="00F14D13"/>
    <w:rsid w:val="00F15B65"/>
    <w:rsid w:val="00F15E4A"/>
    <w:rsid w:val="00F16466"/>
    <w:rsid w:val="00F16F21"/>
    <w:rsid w:val="00F2060F"/>
    <w:rsid w:val="00F21D4F"/>
    <w:rsid w:val="00F227DA"/>
    <w:rsid w:val="00F24B47"/>
    <w:rsid w:val="00F26F49"/>
    <w:rsid w:val="00F30946"/>
    <w:rsid w:val="00F31CB3"/>
    <w:rsid w:val="00F33663"/>
    <w:rsid w:val="00F34CD4"/>
    <w:rsid w:val="00F408E0"/>
    <w:rsid w:val="00F4587E"/>
    <w:rsid w:val="00F4628A"/>
    <w:rsid w:val="00F47594"/>
    <w:rsid w:val="00F53417"/>
    <w:rsid w:val="00F55157"/>
    <w:rsid w:val="00F5622B"/>
    <w:rsid w:val="00F639D1"/>
    <w:rsid w:val="00F70CC5"/>
    <w:rsid w:val="00F71C5B"/>
    <w:rsid w:val="00F769C0"/>
    <w:rsid w:val="00F77F24"/>
    <w:rsid w:val="00F82A8E"/>
    <w:rsid w:val="00F8398F"/>
    <w:rsid w:val="00F85704"/>
    <w:rsid w:val="00F86427"/>
    <w:rsid w:val="00F92110"/>
    <w:rsid w:val="00F93455"/>
    <w:rsid w:val="00F935F3"/>
    <w:rsid w:val="00F95CE8"/>
    <w:rsid w:val="00F971FF"/>
    <w:rsid w:val="00FA056C"/>
    <w:rsid w:val="00FA0620"/>
    <w:rsid w:val="00FA22E8"/>
    <w:rsid w:val="00FB2711"/>
    <w:rsid w:val="00FB2845"/>
    <w:rsid w:val="00FB49B7"/>
    <w:rsid w:val="00FB7BC0"/>
    <w:rsid w:val="00FC023C"/>
    <w:rsid w:val="00FC0571"/>
    <w:rsid w:val="00FC5E0B"/>
    <w:rsid w:val="00FC5F26"/>
    <w:rsid w:val="00FD0425"/>
    <w:rsid w:val="00FD0691"/>
    <w:rsid w:val="00FD260F"/>
    <w:rsid w:val="00FD2C45"/>
    <w:rsid w:val="00FD4A38"/>
    <w:rsid w:val="00FD6E3C"/>
    <w:rsid w:val="00FE493C"/>
    <w:rsid w:val="00FE4E2B"/>
    <w:rsid w:val="00FE6BE6"/>
    <w:rsid w:val="00FE70E8"/>
    <w:rsid w:val="00FE7132"/>
    <w:rsid w:val="00FF209E"/>
    <w:rsid w:val="00FF4495"/>
    <w:rsid w:val="00FF565C"/>
    <w:rsid w:val="00FF62F1"/>
    <w:rsid w:val="00FF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BDD1E7"/>
  <w15:docId w15:val="{395DFE11-F219-4B4F-949A-08C9D04A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641"/>
    <w:rPr>
      <w:color w:val="0563C1" w:themeColor="hyperlink"/>
      <w:u w:val="single"/>
    </w:rPr>
  </w:style>
  <w:style w:type="paragraph" w:styleId="FootnoteText">
    <w:name w:val="footnote text"/>
    <w:basedOn w:val="Normal"/>
    <w:link w:val="FootnoteTextChar"/>
    <w:uiPriority w:val="99"/>
    <w:semiHidden/>
    <w:unhideWhenUsed/>
    <w:rsid w:val="00D045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527"/>
    <w:rPr>
      <w:sz w:val="20"/>
      <w:szCs w:val="20"/>
    </w:rPr>
  </w:style>
  <w:style w:type="character" w:styleId="FootnoteReference">
    <w:name w:val="footnote reference"/>
    <w:basedOn w:val="DefaultParagraphFont"/>
    <w:uiPriority w:val="99"/>
    <w:semiHidden/>
    <w:unhideWhenUsed/>
    <w:rsid w:val="00D04527"/>
    <w:rPr>
      <w:vertAlign w:val="superscript"/>
    </w:rPr>
  </w:style>
  <w:style w:type="paragraph" w:styleId="ListParagraph">
    <w:name w:val="List Paragraph"/>
    <w:basedOn w:val="Normal"/>
    <w:uiPriority w:val="34"/>
    <w:qFormat/>
    <w:rsid w:val="00774504"/>
    <w:pPr>
      <w:ind w:left="720"/>
      <w:contextualSpacing/>
    </w:pPr>
  </w:style>
  <w:style w:type="character" w:styleId="CommentReference">
    <w:name w:val="annotation reference"/>
    <w:basedOn w:val="DefaultParagraphFont"/>
    <w:uiPriority w:val="99"/>
    <w:semiHidden/>
    <w:unhideWhenUsed/>
    <w:rsid w:val="001170E0"/>
    <w:rPr>
      <w:sz w:val="16"/>
      <w:szCs w:val="16"/>
    </w:rPr>
  </w:style>
  <w:style w:type="paragraph" w:styleId="CommentText">
    <w:name w:val="annotation text"/>
    <w:basedOn w:val="Normal"/>
    <w:link w:val="CommentTextChar"/>
    <w:uiPriority w:val="99"/>
    <w:semiHidden/>
    <w:unhideWhenUsed/>
    <w:rsid w:val="001170E0"/>
    <w:pPr>
      <w:spacing w:line="240" w:lineRule="auto"/>
    </w:pPr>
    <w:rPr>
      <w:sz w:val="20"/>
      <w:szCs w:val="20"/>
    </w:rPr>
  </w:style>
  <w:style w:type="character" w:customStyle="1" w:styleId="CommentTextChar">
    <w:name w:val="Comment Text Char"/>
    <w:basedOn w:val="DefaultParagraphFont"/>
    <w:link w:val="CommentText"/>
    <w:uiPriority w:val="99"/>
    <w:semiHidden/>
    <w:rsid w:val="001170E0"/>
    <w:rPr>
      <w:sz w:val="20"/>
      <w:szCs w:val="20"/>
    </w:rPr>
  </w:style>
  <w:style w:type="paragraph" w:styleId="CommentSubject">
    <w:name w:val="annotation subject"/>
    <w:basedOn w:val="CommentText"/>
    <w:next w:val="CommentText"/>
    <w:link w:val="CommentSubjectChar"/>
    <w:uiPriority w:val="99"/>
    <w:semiHidden/>
    <w:unhideWhenUsed/>
    <w:rsid w:val="001170E0"/>
    <w:rPr>
      <w:b/>
      <w:bCs/>
    </w:rPr>
  </w:style>
  <w:style w:type="character" w:customStyle="1" w:styleId="CommentSubjectChar">
    <w:name w:val="Comment Subject Char"/>
    <w:basedOn w:val="CommentTextChar"/>
    <w:link w:val="CommentSubject"/>
    <w:uiPriority w:val="99"/>
    <w:semiHidden/>
    <w:rsid w:val="001170E0"/>
    <w:rPr>
      <w:b/>
      <w:bCs/>
      <w:sz w:val="20"/>
      <w:szCs w:val="20"/>
    </w:rPr>
  </w:style>
  <w:style w:type="paragraph" w:styleId="BalloonText">
    <w:name w:val="Balloon Text"/>
    <w:basedOn w:val="Normal"/>
    <w:link w:val="BalloonTextChar"/>
    <w:uiPriority w:val="99"/>
    <w:semiHidden/>
    <w:unhideWhenUsed/>
    <w:rsid w:val="00117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izemery@gmail.com" TargetMode="Externa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C3769-0FF9-4AA8-BBE4-49BC20C7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4625</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80</cp:revision>
  <dcterms:created xsi:type="dcterms:W3CDTF">2023-04-20T15:54:00Z</dcterms:created>
  <dcterms:modified xsi:type="dcterms:W3CDTF">2023-04-21T02:12:00Z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9fb1a417-96ee-34b9-aff3-73fd05d6b0e5</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