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E81B" w14:textId="77777777" w:rsidR="00666BF3" w:rsidRPr="00391F8C" w:rsidRDefault="00666BF3" w:rsidP="00034AB3">
      <w:pPr>
        <w:spacing w:line="23" w:lineRule="atLeast"/>
        <w:jc w:val="center"/>
        <w:rPr>
          <w:rFonts w:ascii="Times New Roman" w:hAnsi="Times New Roman"/>
          <w:b/>
          <w:bCs/>
          <w:sz w:val="28"/>
          <w:szCs w:val="28"/>
        </w:rPr>
      </w:pPr>
      <w:r w:rsidRPr="00391F8C">
        <w:rPr>
          <w:rFonts w:ascii="Times New Roman" w:hAnsi="Times New Roman"/>
          <w:b/>
          <w:bCs/>
          <w:sz w:val="28"/>
          <w:szCs w:val="28"/>
        </w:rPr>
        <w:t>CREDITOR'S RESPONSIBILITY FOR FORCED WITHDRAWAL OF FIDUCIARY OBJECTS (Case Study Post Constitutional Court Decision No. 18/PUU-XVII/2019 and Constitutional Court Decision No.2/PUU-XIX/2021)</w:t>
      </w:r>
    </w:p>
    <w:p w14:paraId="271F337F" w14:textId="07FE07E2" w:rsidR="00666BF3" w:rsidRPr="00391F8C" w:rsidRDefault="00666BF3" w:rsidP="00391F8C">
      <w:pPr>
        <w:spacing w:line="23" w:lineRule="atLeast"/>
        <w:jc w:val="center"/>
        <w:rPr>
          <w:rFonts w:ascii="Times New Roman" w:hAnsi="Times New Roman"/>
          <w:b/>
          <w:sz w:val="24"/>
          <w:szCs w:val="24"/>
          <w:lang w:eastAsia="zh-CN"/>
        </w:rPr>
      </w:pPr>
      <w:r w:rsidRPr="00391F8C">
        <w:rPr>
          <w:rFonts w:ascii="Times New Roman" w:hAnsi="Times New Roman"/>
          <w:b/>
          <w:sz w:val="24"/>
          <w:szCs w:val="24"/>
          <w:lang w:eastAsia="zh-CN"/>
        </w:rPr>
        <w:t>Nabil Luthfi Abyan</w:t>
      </w:r>
      <w:r w:rsidR="00391F8C" w:rsidRPr="00391F8C">
        <w:rPr>
          <w:rFonts w:ascii="Times New Roman" w:hAnsi="Times New Roman"/>
          <w:b/>
          <w:sz w:val="24"/>
          <w:szCs w:val="24"/>
          <w:vertAlign w:val="superscript"/>
          <w:lang w:eastAsia="zh-CN"/>
        </w:rPr>
        <w:t>1</w:t>
      </w:r>
      <w:r w:rsidR="00391F8C" w:rsidRPr="00391F8C">
        <w:rPr>
          <w:rFonts w:ascii="Times New Roman" w:hAnsi="Times New Roman"/>
          <w:b/>
          <w:sz w:val="24"/>
          <w:szCs w:val="24"/>
          <w:lang w:eastAsia="zh-CN"/>
        </w:rPr>
        <w:t xml:space="preserve">, </w:t>
      </w:r>
      <w:r w:rsidRPr="00391F8C">
        <w:rPr>
          <w:rFonts w:ascii="Times New Roman" w:hAnsi="Times New Roman"/>
          <w:b/>
          <w:sz w:val="24"/>
          <w:szCs w:val="24"/>
          <w:lang w:eastAsia="zh-CN"/>
        </w:rPr>
        <w:t>Wardani Rizkianti</w:t>
      </w:r>
      <w:r w:rsidR="00391F8C" w:rsidRPr="00391F8C">
        <w:rPr>
          <w:rFonts w:ascii="Times New Roman" w:hAnsi="Times New Roman"/>
          <w:b/>
          <w:sz w:val="24"/>
          <w:szCs w:val="24"/>
          <w:vertAlign w:val="superscript"/>
          <w:lang w:eastAsia="zh-CN"/>
        </w:rPr>
        <w:t>2</w:t>
      </w:r>
    </w:p>
    <w:p w14:paraId="153B95D3" w14:textId="0BF2A306" w:rsidR="00666BF3" w:rsidRPr="003D2D44" w:rsidRDefault="00666BF3" w:rsidP="00034AB3">
      <w:pPr>
        <w:spacing w:line="23" w:lineRule="atLeast"/>
        <w:jc w:val="center"/>
        <w:rPr>
          <w:rFonts w:ascii="Times New Roman" w:hAnsi="Times New Roman"/>
          <w:sz w:val="20"/>
          <w:szCs w:val="20"/>
          <w:lang w:val="de-DE" w:eastAsia="zh-CN"/>
        </w:rPr>
      </w:pPr>
      <w:r w:rsidRPr="003D2D44">
        <w:rPr>
          <w:rFonts w:ascii="Times New Roman" w:hAnsi="Times New Roman"/>
          <w:sz w:val="20"/>
          <w:szCs w:val="20"/>
          <w:lang w:val="de-DE" w:eastAsia="zh-CN"/>
        </w:rPr>
        <w:t>Fakultas Hukum, Universitas Pembangunan Nasional “Veteran” Jakarta</w:t>
      </w:r>
      <w:r w:rsidR="00391F8C" w:rsidRPr="003D2D44">
        <w:rPr>
          <w:rFonts w:ascii="Times New Roman" w:hAnsi="Times New Roman"/>
          <w:sz w:val="20"/>
          <w:szCs w:val="20"/>
          <w:lang w:val="de-DE" w:eastAsia="zh-CN"/>
        </w:rPr>
        <w:t>,Indonesia</w:t>
      </w:r>
    </w:p>
    <w:p w14:paraId="38324699" w14:textId="4CDC7F32" w:rsidR="00666BF3" w:rsidRPr="00391F8C" w:rsidRDefault="00391F8C" w:rsidP="00034AB3">
      <w:pPr>
        <w:spacing w:line="23" w:lineRule="atLeast"/>
        <w:jc w:val="center"/>
        <w:rPr>
          <w:rFonts w:ascii="Times New Roman" w:hAnsi="Times New Roman"/>
          <w:sz w:val="20"/>
          <w:szCs w:val="20"/>
          <w:lang w:eastAsia="zh-CN"/>
        </w:rPr>
      </w:pPr>
      <w:r w:rsidRPr="00391F8C">
        <w:rPr>
          <w:rFonts w:ascii="Times New Roman" w:hAnsi="Times New Roman"/>
          <w:sz w:val="20"/>
          <w:szCs w:val="20"/>
          <w:lang w:eastAsia="zh-CN"/>
        </w:rPr>
        <w:t>2010611075@mahasiswa.upnvj.ac.id</w:t>
      </w:r>
    </w:p>
    <w:p w14:paraId="7BCB1E7D" w14:textId="77777777" w:rsidR="00666BF3" w:rsidRPr="008B775A" w:rsidRDefault="00666BF3" w:rsidP="00034AB3">
      <w:pPr>
        <w:spacing w:line="23" w:lineRule="atLeast"/>
        <w:jc w:val="center"/>
        <w:rPr>
          <w:rFonts w:ascii="Times New Roman" w:hAnsi="Times New Roman"/>
          <w:b/>
          <w:sz w:val="24"/>
          <w:szCs w:val="24"/>
          <w:lang w:eastAsia="zh-CN"/>
        </w:rPr>
      </w:pPr>
      <w:r w:rsidRPr="008B775A">
        <w:rPr>
          <w:rFonts w:ascii="Times New Roman" w:hAnsi="Times New Roman"/>
          <w:b/>
          <w:sz w:val="24"/>
          <w:szCs w:val="24"/>
          <w:lang w:eastAsia="zh-CN"/>
        </w:rPr>
        <w:tab/>
      </w:r>
    </w:p>
    <w:p w14:paraId="3A5DA97B" w14:textId="77777777" w:rsidR="00666BF3" w:rsidRPr="008B775A" w:rsidRDefault="00666BF3" w:rsidP="00034AB3">
      <w:pPr>
        <w:spacing w:line="23" w:lineRule="atLeast"/>
        <w:jc w:val="center"/>
        <w:rPr>
          <w:rFonts w:ascii="Times New Roman" w:hAnsi="Times New Roman"/>
          <w:b/>
          <w:sz w:val="24"/>
          <w:szCs w:val="24"/>
          <w:lang w:eastAsia="zh-CN"/>
        </w:rPr>
      </w:pPr>
      <w:r w:rsidRPr="008B775A">
        <w:rPr>
          <w:rFonts w:ascii="Times New Roman" w:hAnsi="Times New Roman"/>
          <w:b/>
          <w:sz w:val="24"/>
          <w:szCs w:val="24"/>
          <w:lang w:eastAsia="zh-CN"/>
        </w:rPr>
        <w:t>ABSTRACT</w:t>
      </w:r>
    </w:p>
    <w:p w14:paraId="402992AE" w14:textId="007895F4" w:rsidR="009B5AC9" w:rsidRPr="00391F8C" w:rsidRDefault="009B5AC9" w:rsidP="00391F8C">
      <w:pPr>
        <w:spacing w:line="20" w:lineRule="atLeast"/>
        <w:jc w:val="both"/>
        <w:rPr>
          <w:rFonts w:ascii="Times New Roman" w:hAnsi="Times New Roman"/>
          <w:bCs/>
          <w:sz w:val="20"/>
          <w:szCs w:val="20"/>
          <w:lang w:eastAsia="zh-CN"/>
        </w:rPr>
      </w:pPr>
      <w:r w:rsidRPr="00391F8C">
        <w:rPr>
          <w:rFonts w:ascii="Times New Roman" w:hAnsi="Times New Roman"/>
          <w:bCs/>
          <w:sz w:val="20"/>
          <w:szCs w:val="20"/>
          <w:lang w:eastAsia="zh-CN"/>
        </w:rPr>
        <w:t>The study falls within the responsibilities of creditors for the forced pulsing of fiduciary objects in a legal framework created following the two-ruling constitutional court, which is no.18 / PUU-XVII /2019 and No. 2/ PUU-XIX /2021. The normative juridical research approach was used, which entailed delving into many elements of law, court judgments, and associated literature.</w:t>
      </w:r>
    </w:p>
    <w:p w14:paraId="15ECE18C" w14:textId="77777777" w:rsidR="009B5AC9" w:rsidRPr="00391F8C" w:rsidRDefault="009B5AC9" w:rsidP="00391F8C">
      <w:pPr>
        <w:spacing w:line="20" w:lineRule="atLeast"/>
        <w:jc w:val="both"/>
        <w:rPr>
          <w:rFonts w:ascii="Times New Roman" w:hAnsi="Times New Roman"/>
          <w:bCs/>
          <w:sz w:val="20"/>
          <w:szCs w:val="20"/>
          <w:lang w:eastAsia="zh-CN"/>
        </w:rPr>
      </w:pPr>
      <w:r w:rsidRPr="00391F8C">
        <w:rPr>
          <w:rFonts w:ascii="Times New Roman" w:hAnsi="Times New Roman"/>
          <w:bCs/>
          <w:sz w:val="20"/>
          <w:szCs w:val="20"/>
          <w:lang w:eastAsia="zh-CN"/>
        </w:rPr>
        <w:t>Significant study findings indicate that Constitutional Court judgments considerably influence the power of Indonesia's oil withdrawal dynamics. As the essential interested party, creditors must successfully manage their obligations, keep an eye out for the borrower's rights, and follow established processes.</w:t>
      </w:r>
    </w:p>
    <w:p w14:paraId="3B958483" w14:textId="77777777" w:rsidR="009B5AC9" w:rsidRPr="00391F8C" w:rsidRDefault="009B5AC9" w:rsidP="00391F8C">
      <w:pPr>
        <w:spacing w:line="20" w:lineRule="atLeast"/>
        <w:jc w:val="both"/>
        <w:rPr>
          <w:rFonts w:ascii="Times New Roman" w:hAnsi="Times New Roman"/>
          <w:bCs/>
          <w:sz w:val="20"/>
          <w:szCs w:val="20"/>
          <w:lang w:eastAsia="zh-CN"/>
        </w:rPr>
      </w:pPr>
      <w:r w:rsidRPr="00391F8C">
        <w:rPr>
          <w:rFonts w:ascii="Times New Roman" w:hAnsi="Times New Roman"/>
          <w:bCs/>
          <w:sz w:val="20"/>
          <w:szCs w:val="20"/>
          <w:lang w:eastAsia="zh-CN"/>
        </w:rPr>
        <w:t>An in-depth study highlights several legal difficulties originating from the execution of the judgments, such as the need for additional clarification on forced withdrawal procedures, improved debtor rights protection, and attempts to improve the efficacy of interval-related policy solutions.</w:t>
      </w:r>
    </w:p>
    <w:p w14:paraId="5E15F49A" w14:textId="73CACA86" w:rsidR="00034AB3" w:rsidRPr="008F482A" w:rsidRDefault="009B5AC9" w:rsidP="008F482A">
      <w:pPr>
        <w:spacing w:line="20" w:lineRule="atLeast"/>
        <w:jc w:val="both"/>
        <w:rPr>
          <w:rFonts w:ascii="Times New Roman" w:hAnsi="Times New Roman"/>
          <w:bCs/>
          <w:sz w:val="20"/>
          <w:szCs w:val="20"/>
          <w:lang w:eastAsia="zh-CN"/>
        </w:rPr>
      </w:pPr>
      <w:r w:rsidRPr="00391F8C">
        <w:rPr>
          <w:rFonts w:ascii="Times New Roman" w:hAnsi="Times New Roman"/>
          <w:bCs/>
          <w:sz w:val="20"/>
          <w:szCs w:val="20"/>
          <w:lang w:eastAsia="zh-CN"/>
        </w:rPr>
        <w:t xml:space="preserve"> The study found that this analysis adds to understanding the transition in the credit-credit-liability paradigm toward the forced pulsing of fiduciary tokens. Recommendations for future revisions to relevant legislation and regulations are made to promote legal clarity and safeguard the interests of all parties participating in fiduciary bail transactions.</w:t>
      </w:r>
    </w:p>
    <w:p w14:paraId="300E5379" w14:textId="23C05C73" w:rsidR="00666BF3" w:rsidRPr="008F482A" w:rsidRDefault="00666BF3" w:rsidP="008F482A">
      <w:pPr>
        <w:spacing w:line="20" w:lineRule="atLeast"/>
        <w:jc w:val="both"/>
        <w:rPr>
          <w:rFonts w:ascii="Times New Roman" w:hAnsi="Times New Roman"/>
          <w:b/>
          <w:sz w:val="20"/>
          <w:szCs w:val="20"/>
        </w:rPr>
      </w:pPr>
      <w:r w:rsidRPr="008F482A">
        <w:rPr>
          <w:rFonts w:ascii="Times New Roman" w:hAnsi="Times New Roman"/>
          <w:b/>
          <w:sz w:val="20"/>
          <w:szCs w:val="20"/>
        </w:rPr>
        <w:t>Keywords:</w:t>
      </w:r>
      <w:r w:rsidR="00954590" w:rsidRPr="008F482A">
        <w:rPr>
          <w:rFonts w:ascii="Times New Roman" w:hAnsi="Times New Roman"/>
          <w:b/>
          <w:sz w:val="20"/>
          <w:szCs w:val="20"/>
        </w:rPr>
        <w:t xml:space="preserve"> Creditor’s </w:t>
      </w:r>
      <w:proofErr w:type="gramStart"/>
      <w:r w:rsidR="00954590" w:rsidRPr="008F482A">
        <w:rPr>
          <w:rFonts w:ascii="Times New Roman" w:hAnsi="Times New Roman"/>
          <w:b/>
          <w:sz w:val="20"/>
          <w:szCs w:val="20"/>
        </w:rPr>
        <w:t>Responsibility ;</w:t>
      </w:r>
      <w:proofErr w:type="gramEnd"/>
      <w:r w:rsidR="00954590" w:rsidRPr="008F482A">
        <w:rPr>
          <w:rFonts w:ascii="Times New Roman" w:hAnsi="Times New Roman"/>
          <w:b/>
          <w:sz w:val="20"/>
          <w:szCs w:val="20"/>
        </w:rPr>
        <w:t xml:space="preserve"> Forced Pulsing ; Fiduciary Object</w:t>
      </w:r>
    </w:p>
    <w:p w14:paraId="25D0FFD3" w14:textId="6A6A949D" w:rsidR="008F482A" w:rsidRDefault="008F482A" w:rsidP="00034AB3">
      <w:pPr>
        <w:spacing w:line="23" w:lineRule="atLeast"/>
        <w:jc w:val="both"/>
        <w:rPr>
          <w:rFonts w:ascii="Times New Roman" w:hAnsi="Times New Roman"/>
          <w:b/>
          <w:bCs/>
          <w:sz w:val="24"/>
          <w:szCs w:val="24"/>
        </w:rPr>
      </w:pPr>
      <w:r>
        <w:rPr>
          <w:rFonts w:ascii="Times New Roman" w:hAnsi="Times New Roman"/>
          <w:b/>
          <w:bCs/>
          <w:sz w:val="24"/>
          <w:szCs w:val="24"/>
        </w:rPr>
        <w:br/>
      </w:r>
    </w:p>
    <w:p w14:paraId="3CC19B2B" w14:textId="7A404440" w:rsidR="008F3E3C" w:rsidRPr="008B775A" w:rsidRDefault="008F482A" w:rsidP="008F482A">
      <w:pPr>
        <w:rPr>
          <w:rFonts w:ascii="Times New Roman" w:hAnsi="Times New Roman"/>
          <w:b/>
          <w:bCs/>
          <w:sz w:val="24"/>
          <w:szCs w:val="24"/>
        </w:rPr>
      </w:pPr>
      <w:r>
        <w:rPr>
          <w:rFonts w:ascii="Times New Roman" w:hAnsi="Times New Roman"/>
          <w:b/>
          <w:bCs/>
          <w:sz w:val="24"/>
          <w:szCs w:val="24"/>
        </w:rPr>
        <w:br w:type="page"/>
      </w:r>
    </w:p>
    <w:p w14:paraId="30A51D41" w14:textId="77777777" w:rsidR="00666BF3" w:rsidRPr="008B775A" w:rsidRDefault="00666BF3" w:rsidP="00034AB3">
      <w:pPr>
        <w:pStyle w:val="ListParagraph"/>
        <w:numPr>
          <w:ilvl w:val="0"/>
          <w:numId w:val="1"/>
        </w:numPr>
        <w:spacing w:line="23" w:lineRule="atLeast"/>
        <w:rPr>
          <w:rFonts w:ascii="Times New Roman" w:hAnsi="Times New Roman"/>
          <w:b/>
          <w:bCs/>
          <w:sz w:val="24"/>
          <w:szCs w:val="24"/>
        </w:rPr>
      </w:pPr>
      <w:r w:rsidRPr="008B775A">
        <w:rPr>
          <w:rFonts w:ascii="Times New Roman" w:hAnsi="Times New Roman"/>
          <w:b/>
          <w:bCs/>
          <w:sz w:val="24"/>
          <w:szCs w:val="24"/>
        </w:rPr>
        <w:lastRenderedPageBreak/>
        <w:t>INTRODUCTION</w:t>
      </w:r>
    </w:p>
    <w:p w14:paraId="4960075A" w14:textId="33F57F54" w:rsidR="00666BF3" w:rsidRPr="008B775A" w:rsidRDefault="00666BF3" w:rsidP="00034AB3">
      <w:pPr>
        <w:pStyle w:val="ListParagraph"/>
        <w:spacing w:after="0" w:line="23" w:lineRule="atLeast"/>
        <w:ind w:firstLine="720"/>
        <w:jc w:val="both"/>
        <w:rPr>
          <w:rFonts w:ascii="Times New Roman" w:hAnsi="Times New Roman"/>
          <w:sz w:val="24"/>
          <w:szCs w:val="24"/>
        </w:rPr>
      </w:pPr>
      <w:r w:rsidRPr="008B775A">
        <w:rPr>
          <w:rFonts w:ascii="Times New Roman" w:hAnsi="Times New Roman"/>
          <w:sz w:val="24"/>
          <w:szCs w:val="24"/>
        </w:rPr>
        <w:t>In general, lending and borrowing activities can create a relationship between legal subjects, namely creditors and debtors. From the existence of creditors and debtors, undesirable impacts will arise between the parties. One of the fiduciary guarantee institutions recognized by modern society today is a fiduciary guarantee</w:t>
      </w:r>
      <w:r w:rsidR="00C260AD">
        <w:rPr>
          <w:rFonts w:ascii="Times New Roman" w:hAnsi="Times New Roman"/>
          <w:sz w:val="24"/>
          <w:szCs w:val="24"/>
        </w:rPr>
        <w:t xml:space="preserve">, </w:t>
      </w:r>
      <w:r w:rsidRPr="008B775A">
        <w:rPr>
          <w:rFonts w:ascii="Times New Roman" w:hAnsi="Times New Roman"/>
          <w:sz w:val="24"/>
          <w:szCs w:val="24"/>
        </w:rPr>
        <w:t>which binds creditors and debtors towards legal certainty for all parties involved in a fiduciary agreement. A fiduciary agreement is a consideration agreement.</w:t>
      </w:r>
    </w:p>
    <w:p w14:paraId="0406DF24" w14:textId="288161D9" w:rsidR="00666BF3" w:rsidRPr="008B775A" w:rsidRDefault="00AE0F98" w:rsidP="00034AB3">
      <w:pPr>
        <w:pStyle w:val="ListParagraph"/>
        <w:spacing w:after="0" w:line="23" w:lineRule="atLeast"/>
        <w:ind w:firstLine="720"/>
        <w:jc w:val="both"/>
        <w:rPr>
          <w:rFonts w:ascii="Times New Roman" w:hAnsi="Times New Roman"/>
          <w:sz w:val="24"/>
          <w:szCs w:val="24"/>
        </w:rPr>
      </w:pPr>
      <w:r w:rsidRPr="00AE0F98">
        <w:rPr>
          <w:rFonts w:ascii="Times New Roman" w:hAnsi="Times New Roman"/>
          <w:sz w:val="24"/>
          <w:szCs w:val="24"/>
        </w:rPr>
        <w:t>In a fiduciary agreement, considerations are exchanged between the creditor and the debtor. Consideration is an exchange of value or benefits provided by each party involved in the agreement as the basis for the contract. So, based on this understanding, in the fiduciary deal, the debtor gives property rights (ownership) over movable assets to the creditor as collateral for the credit granting. In this case, the portable support becomes a consideration the debtor gives to the creditor. The debtor gives ownership rights to movable assets in exchange for credit provided by the creditor. This agreement has a function to anticipate if the creditor breaks his promise to pay off his debt. This agreement is stated in a notarial deed to guarantee that the parties are confident in carrying out a contract. Fiduciary guarantees are assessors, meaning the deal will always follow the principle. When the principal agreement is void, the guarantee is also invalid</w:t>
      </w:r>
      <w:r w:rsidR="00666BF3" w:rsidRPr="008B775A">
        <w:rPr>
          <w:rFonts w:ascii="Times New Roman" w:hAnsi="Times New Roman"/>
          <w:sz w:val="24"/>
          <w:szCs w:val="24"/>
        </w:rPr>
        <w:t>.</w:t>
      </w:r>
    </w:p>
    <w:p w14:paraId="578B6AF2" w14:textId="6764D527" w:rsidR="00666BF3" w:rsidRPr="008B775A" w:rsidRDefault="00666BF3" w:rsidP="00034AB3">
      <w:pPr>
        <w:pStyle w:val="ListParagraph"/>
        <w:spacing w:after="0" w:line="23" w:lineRule="atLeast"/>
        <w:ind w:firstLine="720"/>
        <w:jc w:val="both"/>
        <w:rPr>
          <w:rFonts w:ascii="Times New Roman" w:hAnsi="Times New Roman"/>
          <w:sz w:val="24"/>
          <w:szCs w:val="24"/>
        </w:rPr>
      </w:pPr>
      <w:r w:rsidRPr="008B775A">
        <w:rPr>
          <w:rFonts w:ascii="Times New Roman" w:hAnsi="Times New Roman"/>
          <w:sz w:val="24"/>
          <w:szCs w:val="24"/>
        </w:rPr>
        <w:t xml:space="preserve">Based on the Consumer Protection Study in the financial services sector issued by the OJK in 2018, fiduciary guarantees have always been an option for the public, especially finance companies, in providing financing to consumers. Fiduciary guarantees are considered unique because the system of borrowing objects that are the object of fiduciary guarantees only guarantees their ownership and the rights to the objects will be under the control of the debtor. Unlike a mortgage guarantee, the property rights are under the control of the creditor. In implementing the agreement, the creditor cannot arbitrarily use coercion and violence to withdraw the property rights of the debtor who pays the </w:t>
      </w:r>
      <w:r w:rsidR="004274C1" w:rsidRPr="008B775A">
        <w:rPr>
          <w:rFonts w:ascii="Times New Roman" w:hAnsi="Times New Roman"/>
          <w:sz w:val="24"/>
          <w:szCs w:val="24"/>
        </w:rPr>
        <w:t>instalments</w:t>
      </w:r>
      <w:r w:rsidRPr="008B775A">
        <w:rPr>
          <w:rFonts w:ascii="Times New Roman" w:hAnsi="Times New Roman"/>
          <w:sz w:val="24"/>
          <w:szCs w:val="24"/>
        </w:rPr>
        <w:t>.</w:t>
      </w:r>
      <w:r w:rsidR="00A04F02" w:rsidRPr="00552667">
        <w:rPr>
          <w:rStyle w:val="FootnoteReference"/>
        </w:rPr>
        <w:footnoteReference w:id="1"/>
      </w:r>
      <w:r w:rsidRPr="008B775A">
        <w:rPr>
          <w:rFonts w:ascii="Times New Roman" w:hAnsi="Times New Roman"/>
          <w:sz w:val="24"/>
          <w:szCs w:val="24"/>
        </w:rPr>
        <w:t xml:space="preserve"> Finance companies (creditors) that provide this guarantee must register the fiduciary guarantee first. If it is not registered, creditors or third parties cannot confiscate the debtor's assets. Fiduciary collateral assets must be registered with the fiduciary registration office, in accordance with the law governing fiduciary guarantees</w:t>
      </w:r>
      <w:r w:rsidR="003D3269" w:rsidRPr="00552667">
        <w:rPr>
          <w:rStyle w:val="FootnoteReference"/>
        </w:rPr>
        <w:footnoteReference w:id="2"/>
      </w:r>
      <w:r w:rsidRPr="008B775A">
        <w:rPr>
          <w:rFonts w:ascii="Times New Roman" w:hAnsi="Times New Roman"/>
          <w:sz w:val="24"/>
          <w:szCs w:val="24"/>
        </w:rPr>
        <w:t>.</w:t>
      </w:r>
    </w:p>
    <w:p w14:paraId="44533D93" w14:textId="032B68CC" w:rsidR="00654DAC" w:rsidRPr="008B775A" w:rsidRDefault="00720BDB" w:rsidP="00034AB3">
      <w:pPr>
        <w:pStyle w:val="Default"/>
        <w:spacing w:line="23" w:lineRule="atLeast"/>
        <w:ind w:left="720" w:firstLine="720"/>
        <w:jc w:val="both"/>
      </w:pPr>
      <w:r w:rsidRPr="00720BDB">
        <w:t xml:space="preserve">For creditors, if the debt is not fulfilled, the creditor has authority over the item and sells the object guaranteed by the debtor to the creditor through auction. After buying and selling the collateral, if the goods from the auction exceed the target, the proceeds must be returned to the creditor, which the debtor or a third </w:t>
      </w:r>
      <w:r w:rsidRPr="00720BDB">
        <w:lastRenderedPageBreak/>
        <w:t>party can do. According to the provisions in Article 34 of Law no. 42 of 1999, if the goods that are the object of the auction have a value that exceeds the amount of the debt still to be paid, then the goods must be returned to the fiduciary. On the other hand, if the auction proceeds of the goods are insufficient to cover the entire value of the debt borrowed, the borrower is still responsible for paying off the remaining outstanding debt</w:t>
      </w:r>
      <w:r w:rsidR="00654DAC" w:rsidRPr="008B775A">
        <w:t>.</w:t>
      </w:r>
      <w:r w:rsidR="0084049B">
        <w:rPr>
          <w:rStyle w:val="FootnoteReference"/>
        </w:rPr>
        <w:footnoteReference w:id="3"/>
      </w:r>
    </w:p>
    <w:p w14:paraId="486E0BBD" w14:textId="1404D249" w:rsidR="00654DAC" w:rsidRPr="008B775A" w:rsidRDefault="00FA1245" w:rsidP="00034AB3">
      <w:pPr>
        <w:pStyle w:val="Default"/>
        <w:spacing w:line="23" w:lineRule="atLeast"/>
        <w:ind w:left="720" w:firstLine="720"/>
        <w:jc w:val="both"/>
        <w:rPr>
          <w:color w:val="auto"/>
        </w:rPr>
      </w:pPr>
      <w:r w:rsidRPr="008B775A">
        <w:rPr>
          <w:color w:val="auto"/>
        </w:rPr>
        <w:t>A fiduciary guarantee is the confidence in surrendering ownership rights to an object as collateral for debt repayment. This transfer is designed to serve as security for certain obligations, giving the creditor priority over others. The fiduciary assurance certificate carries the same legal weight in court. In practice, auctions or executions occur due to the debtor's violation of the contract; as a result, the law promotes the execution of fiduciary assurances. The fiduciary assurance certificate has the line "for the sake of justice based on the Almighty God." As a result, this certificate is legally valid for execution</w:t>
      </w:r>
      <w:r w:rsidR="002B4865" w:rsidRPr="00552667">
        <w:rPr>
          <w:rStyle w:val="FootnoteReference"/>
        </w:rPr>
        <w:footnoteReference w:id="4"/>
      </w:r>
      <w:r w:rsidR="00654DAC" w:rsidRPr="008B775A">
        <w:rPr>
          <w:color w:val="auto"/>
        </w:rPr>
        <w:t>.</w:t>
      </w:r>
    </w:p>
    <w:p w14:paraId="40C53B9C" w14:textId="4A4140A5" w:rsidR="00654DAC" w:rsidRPr="008B775A" w:rsidRDefault="009F4EAF" w:rsidP="00034AB3">
      <w:pPr>
        <w:pStyle w:val="Default"/>
        <w:spacing w:line="23" w:lineRule="atLeast"/>
        <w:ind w:left="720" w:firstLine="720"/>
        <w:jc w:val="both"/>
        <w:rPr>
          <w:color w:val="auto"/>
        </w:rPr>
      </w:pPr>
      <w:r w:rsidRPr="009F4EAF">
        <w:rPr>
          <w:color w:val="auto"/>
        </w:rPr>
        <w:t>According to Law Number 42 of 1999, Article 29 stipulates that in the case of a fiduciary guarantee, if the debtor defaults, the recipient of the collateral object has the authority to execute the collateral</w:t>
      </w:r>
      <w:r>
        <w:rPr>
          <w:color w:val="auto"/>
        </w:rPr>
        <w:t>.</w:t>
      </w:r>
      <w:r w:rsidR="00654DAC" w:rsidRPr="00552667">
        <w:rPr>
          <w:rStyle w:val="FootnoteReference"/>
        </w:rPr>
        <w:footnoteReference w:id="5"/>
      </w:r>
      <w:r w:rsidRPr="009F4EAF">
        <w:t xml:space="preserve"> </w:t>
      </w:r>
      <w:r w:rsidRPr="009F4EAF">
        <w:rPr>
          <w:color w:val="auto"/>
        </w:rPr>
        <w:t>The recipient of the collateral object can acquire the proceeds from auctions or sales of the collateral, and private sales are permissible with the agreement of the involved parties. The contract may result in profits based on advantageous terms</w:t>
      </w:r>
      <w:r w:rsidR="005E2362" w:rsidRPr="00552667">
        <w:rPr>
          <w:rStyle w:val="FootnoteReference"/>
        </w:rPr>
        <w:footnoteReference w:id="6"/>
      </w:r>
      <w:r>
        <w:rPr>
          <w:color w:val="auto"/>
        </w:rPr>
        <w:t>.</w:t>
      </w:r>
      <w:r w:rsidR="00654DAC" w:rsidRPr="008B775A">
        <w:rPr>
          <w:color w:val="auto"/>
        </w:rPr>
        <w:t xml:space="preserve"> </w:t>
      </w:r>
      <w:r w:rsidRPr="009F4EAF">
        <w:rPr>
          <w:color w:val="auto"/>
        </w:rPr>
        <w:t>The fundamental principle is publicly auctioning fiduciary collateral objects to ensure the highest possible returns.</w:t>
      </w:r>
    </w:p>
    <w:p w14:paraId="698CA35D" w14:textId="56679DA6" w:rsidR="00654DAC" w:rsidRPr="008B775A" w:rsidRDefault="00521A38" w:rsidP="00034AB3">
      <w:pPr>
        <w:pStyle w:val="Default"/>
        <w:spacing w:line="23" w:lineRule="atLeast"/>
        <w:ind w:left="720" w:firstLine="720"/>
        <w:jc w:val="both"/>
      </w:pPr>
      <w:r w:rsidRPr="00521A38">
        <w:t>According to the government's policy on fiduciary guarantees, a significant development has been reflected in Constitutional Court Decision Number 18/PUU-XVII/2019, which reviewed Law Number 42 of 1999. The Constitutional Court tested the law for compatibility with the 1945 Constitution of Indonesia. According to the court, if the fiduciary rights provider (the debtor) confesses default and freely surrenders the object, the fiduciary rights recipient (the creditor) can execute without contacting the district court. If the debtor denies ruin, the creditor must go through the district court and cannot run directly.</w:t>
      </w:r>
      <w:r w:rsidR="0084049B">
        <w:rPr>
          <w:rStyle w:val="FootnoteReference"/>
        </w:rPr>
        <w:footnoteReference w:id="7"/>
      </w:r>
    </w:p>
    <w:p w14:paraId="536422DE" w14:textId="7F8EBD62" w:rsidR="00654DAC" w:rsidRPr="008B775A" w:rsidRDefault="004B0065" w:rsidP="00034AB3">
      <w:pPr>
        <w:pStyle w:val="Default"/>
        <w:spacing w:line="23" w:lineRule="atLeast"/>
        <w:ind w:left="720" w:firstLine="720"/>
        <w:jc w:val="both"/>
      </w:pPr>
      <w:r w:rsidRPr="008B775A">
        <w:t>This method seeks to balance debtors' and creditors' constitutional rights</w:t>
      </w:r>
      <w:r w:rsidR="006834AF" w:rsidRPr="008B775A">
        <w:t xml:space="preserve">. The decision granted part of the applicant's request, specifically deeming certain phrases in Article 15, paragraphs 2 and 3, along with their explanations in Law Number 42 of 1999, as contradictory to the 1945 Constitution. Despite </w:t>
      </w:r>
      <w:r w:rsidR="006834AF" w:rsidRPr="008B775A">
        <w:lastRenderedPageBreak/>
        <w:t>Constitutional Court Decision Number 18/PUU-XVII/2019, Decision Number 2/PUU-XIX/2021 followed, addressing concerns that the former was overly protective of debtors without considering potential creditor losses</w:t>
      </w:r>
      <w:r w:rsidR="00FC19F0" w:rsidRPr="00552667">
        <w:rPr>
          <w:rStyle w:val="FootnoteReference"/>
        </w:rPr>
        <w:footnoteReference w:id="8"/>
      </w:r>
      <w:r w:rsidR="006834AF" w:rsidRPr="008B775A">
        <w:t>.</w:t>
      </w:r>
    </w:p>
    <w:p w14:paraId="773BBA2C" w14:textId="3B21B1D3" w:rsidR="006A3113" w:rsidRDefault="003D2D44" w:rsidP="006751A3">
      <w:pPr>
        <w:pStyle w:val="Default"/>
        <w:spacing w:line="23" w:lineRule="atLeast"/>
        <w:ind w:left="720" w:firstLine="720"/>
        <w:jc w:val="both"/>
      </w:pPr>
      <w:r>
        <w:t>I</w:t>
      </w:r>
      <w:r w:rsidRPr="003D2D44">
        <w:t>n respect of its executory effects, Constitutional Court Decision Number 18/PUU-XVII/2019 presents practical techniques for enforcing fiduciary guarantees without changing the essential meaning of Article 15 UUJF. The method of issuing fiduciary guarantees was confirmed in Decision Number 2/PUU-XIX/2021, allowing other creditors to seek relief from the district court and upholding the previous verdict (MK Decision Number 18/PUU-XVII/2019).</w:t>
      </w:r>
      <w:r w:rsidR="00932422">
        <w:rPr>
          <w:rStyle w:val="FootnoteReference"/>
        </w:rPr>
        <w:footnoteReference w:id="9"/>
      </w:r>
      <w:r w:rsidR="006A3113" w:rsidRPr="006A3113">
        <w:t>.</w:t>
      </w:r>
    </w:p>
    <w:p w14:paraId="65554B54" w14:textId="1EE64BE3" w:rsidR="006751A3" w:rsidRDefault="003D2D44" w:rsidP="006751A3">
      <w:pPr>
        <w:pStyle w:val="Default"/>
        <w:spacing w:line="23" w:lineRule="atLeast"/>
        <w:ind w:left="720" w:firstLine="720"/>
        <w:jc w:val="both"/>
      </w:pPr>
      <w:r w:rsidRPr="003D2D44">
        <w:t>In Indonesia, there have been significant advancements addressing the creditor's responsibility for the compelled withdrawal of fiduciary security objects, most notably with Constitutional Court Decisions 18/PUU-XVII/2019 and 2/PUU-XIX/2021. These rulings represent a substantial shift in the procedure of executing fiduciary guarantees, precisely outlining creditors' duties and obligations in carrying out forced withdrawal proceedings</w:t>
      </w:r>
      <w:r w:rsidR="00124F73">
        <w:t>.</w:t>
      </w:r>
      <w:r w:rsidR="006751A3">
        <w:rPr>
          <w:rStyle w:val="FootnoteReference"/>
        </w:rPr>
        <w:footnoteReference w:id="10"/>
      </w:r>
    </w:p>
    <w:p w14:paraId="2F3A375D" w14:textId="1422F235" w:rsidR="00C217E5" w:rsidRDefault="003D2D44" w:rsidP="006751A3">
      <w:pPr>
        <w:pStyle w:val="Default"/>
        <w:spacing w:line="23" w:lineRule="atLeast"/>
        <w:ind w:left="720" w:firstLine="720"/>
        <w:jc w:val="both"/>
      </w:pPr>
      <w:r w:rsidRPr="003D2D44">
        <w:t>If the fiduciary debtor concedes default and willingly surrenders the fiduciary object, the fiduciary creditor is permitted to carry out full execution (</w:t>
      </w:r>
      <w:proofErr w:type="spellStart"/>
      <w:r w:rsidRPr="003D2D44">
        <w:t>parate</w:t>
      </w:r>
      <w:proofErr w:type="spellEnd"/>
      <w:r w:rsidRPr="003D2D44">
        <w:t xml:space="preserve"> execution) without the intervention of the district court, according to Constitutional Court Decision No. 18/PUU-XVII/2019. However, if the debtor contests the default and refuses to voluntarily renounce the fiduciary object, the fiduciary beneficiary (creditor) must seek execution through the district court and is not permitted to seek direct execution</w:t>
      </w:r>
      <w:r w:rsidR="007E5D88">
        <w:rPr>
          <w:rStyle w:val="FootnoteReference"/>
        </w:rPr>
        <w:footnoteReference w:id="11"/>
      </w:r>
      <w:r w:rsidR="00C217E5" w:rsidRPr="00C217E5">
        <w:t>.</w:t>
      </w:r>
    </w:p>
    <w:p w14:paraId="035BE755" w14:textId="1AD8EB33" w:rsidR="003D2D44" w:rsidRDefault="003D2D44" w:rsidP="006751A3">
      <w:pPr>
        <w:pStyle w:val="Default"/>
        <w:spacing w:line="23" w:lineRule="atLeast"/>
        <w:ind w:left="720" w:firstLine="720"/>
        <w:jc w:val="both"/>
      </w:pPr>
      <w:r w:rsidRPr="003D2D44">
        <w:t>The creditor's option to seek the execution of fiduciary promises before the district court is also confirmed by Constitutional Court Decision 2/PUU-XIX/2021. This underlines the need of the creditor formally requesting execution through the district court as a regulated process when the debtor objects to the execution. These incidents highlight the need of maintaining a constitutional balance between debtors' and creditors' rights, prohibiting arbitrary executions, and guaranteeing legal safeguards for both sides.</w:t>
      </w:r>
    </w:p>
    <w:p w14:paraId="4A12AE25" w14:textId="0950FF39" w:rsidR="00B15D6F" w:rsidRDefault="00B15D6F" w:rsidP="006751A3">
      <w:pPr>
        <w:pStyle w:val="Default"/>
        <w:spacing w:line="23" w:lineRule="atLeast"/>
        <w:ind w:left="720" w:firstLine="720"/>
        <w:jc w:val="both"/>
      </w:pPr>
      <w:r w:rsidRPr="00B15D6F">
        <w:t xml:space="preserve">As a result of these two opinions, the creditor's liability for the compelled withdrawal of fiduciary security items has been clarified and limited. Creditors must guarantee that forced withdrawal measures are conducted in line with </w:t>
      </w:r>
      <w:r w:rsidRPr="00B15D6F">
        <w:lastRenderedPageBreak/>
        <w:t>applicable legal laws and within the parameters established by the Constitutional Court's judgment. Furthermore, creditors are obligated to conduct the execution procedure in good faith while respecting the debtor's fundamental rights.</w:t>
      </w:r>
    </w:p>
    <w:p w14:paraId="3C51EABA" w14:textId="5EC1C0EA" w:rsidR="006751A3" w:rsidRPr="008B775A" w:rsidRDefault="006751A3" w:rsidP="006751A3">
      <w:pPr>
        <w:pStyle w:val="Default"/>
        <w:spacing w:line="23" w:lineRule="atLeast"/>
        <w:ind w:left="720" w:firstLine="720"/>
        <w:jc w:val="both"/>
      </w:pPr>
      <w:r>
        <w:t>Overall, the changes in the legal framework after Constitutional Court Decision No. 18/PUU-XVII/2019 and Constitutional Court Decision No. 2/PUU-XIX/2021 underscore the importance of transparency, fairness, and protection of constitutional rights in the practice of forced withdrawal of fiduciary security objects. The creditor's responsibility becomes more stringent and focused on fulfilling fair legal procedures and respecting the principles of applicable law in Indonesia.</w:t>
      </w:r>
    </w:p>
    <w:p w14:paraId="402C3B70" w14:textId="77777777" w:rsidR="00694840" w:rsidRPr="008B775A" w:rsidRDefault="00694840" w:rsidP="00034AB3">
      <w:pPr>
        <w:pStyle w:val="ListParagraph"/>
        <w:numPr>
          <w:ilvl w:val="0"/>
          <w:numId w:val="1"/>
        </w:numPr>
        <w:spacing w:line="23" w:lineRule="atLeast"/>
        <w:ind w:firstLine="720"/>
        <w:jc w:val="both"/>
        <w:rPr>
          <w:rFonts w:ascii="Times New Roman" w:hAnsi="Times New Roman"/>
          <w:b/>
          <w:bCs/>
          <w:sz w:val="24"/>
          <w:szCs w:val="24"/>
        </w:rPr>
      </w:pPr>
      <w:r w:rsidRPr="008B775A">
        <w:rPr>
          <w:rFonts w:ascii="Times New Roman" w:hAnsi="Times New Roman"/>
          <w:b/>
          <w:bCs/>
          <w:sz w:val="24"/>
          <w:szCs w:val="24"/>
        </w:rPr>
        <w:t>RESEARCH METHODS</w:t>
      </w:r>
    </w:p>
    <w:p w14:paraId="7BF1187E" w14:textId="7FC25CAA" w:rsidR="00694840" w:rsidRPr="008B775A" w:rsidRDefault="00DD30F6" w:rsidP="00034AB3">
      <w:pPr>
        <w:pStyle w:val="ListParagraph"/>
        <w:spacing w:line="23" w:lineRule="atLeast"/>
        <w:ind w:firstLine="720"/>
        <w:jc w:val="both"/>
        <w:rPr>
          <w:rFonts w:ascii="Times New Roman" w:hAnsi="Times New Roman"/>
          <w:sz w:val="24"/>
          <w:szCs w:val="24"/>
        </w:rPr>
      </w:pPr>
      <w:r w:rsidRPr="008B775A">
        <w:rPr>
          <w:rFonts w:ascii="Times New Roman" w:hAnsi="Times New Roman"/>
          <w:sz w:val="24"/>
          <w:szCs w:val="24"/>
        </w:rPr>
        <w:t xml:space="preserve">This study employs normative juridical research. The normative juridical technique is a research strategy focusing on legal norms in statutory rules. </w:t>
      </w:r>
      <w:r w:rsidR="00694840" w:rsidRPr="008B775A">
        <w:rPr>
          <w:rFonts w:ascii="Times New Roman" w:hAnsi="Times New Roman"/>
          <w:sz w:val="24"/>
          <w:szCs w:val="24"/>
        </w:rPr>
        <w:t xml:space="preserve">Normative legal research aims to provide juridical arguments in situations where there is a void, </w:t>
      </w:r>
      <w:proofErr w:type="gramStart"/>
      <w:r w:rsidR="00694840" w:rsidRPr="008B775A">
        <w:rPr>
          <w:rFonts w:ascii="Times New Roman" w:hAnsi="Times New Roman"/>
          <w:sz w:val="24"/>
          <w:szCs w:val="24"/>
        </w:rPr>
        <w:t>ambiguity</w:t>
      </w:r>
      <w:proofErr w:type="gramEnd"/>
      <w:r w:rsidR="00694840" w:rsidRPr="008B775A">
        <w:rPr>
          <w:rFonts w:ascii="Times New Roman" w:hAnsi="Times New Roman"/>
          <w:sz w:val="24"/>
          <w:szCs w:val="24"/>
        </w:rPr>
        <w:t xml:space="preserve"> and conflict of legal norms. Therefore, normative legal research plays an important role in maintaining important aspects of legal science as a normative science.</w:t>
      </w:r>
      <w:r w:rsidRPr="008B775A">
        <w:rPr>
          <w:rFonts w:ascii="Times New Roman" w:hAnsi="Times New Roman"/>
          <w:sz w:val="24"/>
          <w:szCs w:val="24"/>
        </w:rPr>
        <w:t xml:space="preserve"> The author collects data or material for this study using a legislative method and a case approach. Secondary legal resources were employed as data sources, including the 1945 Constitution, the Civil Code, Law No. 42 of 1999, Law No. 18 of 1999 concerning Consumer Protection, Constitutional Court Decision Number 18/PUU-XVII/2019, and Constitutional Court Decision Number 18/PUU-XVII/2019</w:t>
      </w:r>
      <w:r w:rsidR="00694840" w:rsidRPr="008B775A">
        <w:rPr>
          <w:rFonts w:ascii="Times New Roman" w:hAnsi="Times New Roman"/>
          <w:sz w:val="24"/>
          <w:szCs w:val="24"/>
        </w:rPr>
        <w:t>.</w:t>
      </w:r>
    </w:p>
    <w:p w14:paraId="4A55966B" w14:textId="77777777" w:rsidR="00694840" w:rsidRPr="008B775A" w:rsidRDefault="00694840" w:rsidP="00034AB3">
      <w:pPr>
        <w:pStyle w:val="ListParagraph"/>
        <w:numPr>
          <w:ilvl w:val="0"/>
          <w:numId w:val="1"/>
        </w:numPr>
        <w:spacing w:line="23" w:lineRule="atLeast"/>
        <w:ind w:left="284" w:firstLine="720"/>
        <w:jc w:val="both"/>
        <w:rPr>
          <w:rFonts w:ascii="Times New Roman" w:hAnsi="Times New Roman"/>
          <w:b/>
          <w:bCs/>
          <w:sz w:val="24"/>
          <w:szCs w:val="24"/>
        </w:rPr>
      </w:pPr>
      <w:r w:rsidRPr="008B775A">
        <w:rPr>
          <w:rFonts w:ascii="Times New Roman" w:hAnsi="Times New Roman"/>
          <w:b/>
          <w:bCs/>
          <w:sz w:val="24"/>
          <w:szCs w:val="24"/>
        </w:rPr>
        <w:t>RESULTS AND DISCUSSION</w:t>
      </w:r>
    </w:p>
    <w:p w14:paraId="507865CE" w14:textId="17171FA5" w:rsidR="00694840" w:rsidRPr="008B775A" w:rsidRDefault="00694840" w:rsidP="00C63B89">
      <w:pPr>
        <w:pStyle w:val="ListParagraph"/>
        <w:numPr>
          <w:ilvl w:val="1"/>
          <w:numId w:val="1"/>
        </w:numPr>
        <w:spacing w:line="23" w:lineRule="atLeast"/>
        <w:jc w:val="both"/>
        <w:rPr>
          <w:rFonts w:ascii="Times New Roman" w:hAnsi="Times New Roman"/>
          <w:b/>
          <w:bCs/>
          <w:sz w:val="24"/>
          <w:szCs w:val="24"/>
        </w:rPr>
      </w:pPr>
      <w:r w:rsidRPr="008B775A">
        <w:rPr>
          <w:rFonts w:ascii="Times New Roman" w:hAnsi="Times New Roman"/>
          <w:b/>
          <w:bCs/>
          <w:sz w:val="24"/>
          <w:szCs w:val="24"/>
        </w:rPr>
        <w:t>Application of Forced Withdrawal Settlement for Fiduciary Security Objects Post Constitutional Court Decision Number 18/PUU-XVII/2019 and Constitutional Court Decision Number 2/PUU-XIX/2021</w:t>
      </w:r>
    </w:p>
    <w:p w14:paraId="677DE2ED" w14:textId="7BA3D009" w:rsidR="0070111B" w:rsidRPr="00823330" w:rsidRDefault="009C100A" w:rsidP="00823330">
      <w:pPr>
        <w:spacing w:line="23" w:lineRule="atLeast"/>
        <w:ind w:left="1134" w:firstLine="709"/>
        <w:jc w:val="both"/>
        <w:rPr>
          <w:rFonts w:ascii="Times New Roman" w:hAnsi="Times New Roman"/>
          <w:sz w:val="24"/>
          <w:szCs w:val="24"/>
        </w:rPr>
      </w:pPr>
      <w:r w:rsidRPr="008B775A">
        <w:rPr>
          <w:rFonts w:ascii="Times New Roman" w:hAnsi="Times New Roman"/>
          <w:sz w:val="24"/>
          <w:szCs w:val="24"/>
        </w:rPr>
        <w:t xml:space="preserve">The compelled retrieval of fiduciary collateral objects is a separate execution action that involves secured rights over moveable assets, including tangible and intangible goods and immovable assets. </w:t>
      </w:r>
      <w:r w:rsidR="00BC2D78" w:rsidRPr="008B775A">
        <w:rPr>
          <w:rFonts w:ascii="Times New Roman" w:hAnsi="Times New Roman"/>
          <w:sz w:val="24"/>
          <w:szCs w:val="24"/>
        </w:rPr>
        <w:t>The researcher's discoveries indicate instances where debtors appear to intentionally neglect their responsibilities as outlined in the mutually agreed financing agreement. They only seem willing to meet their obligations after becoming embroiled in minor legal disputes. Conversely, it was also observed that the creditor undertook one-sided execution by forcefully reclaiming the fiduciary collateral object, disregarding the provisions outlined in the Fiduciary Guarantee Law</w:t>
      </w:r>
      <w:r w:rsidR="000C0BA0" w:rsidRPr="00552667">
        <w:rPr>
          <w:rStyle w:val="FootnoteReference"/>
        </w:rPr>
        <w:footnoteReference w:id="12"/>
      </w:r>
      <w:r w:rsidR="000C0BA0">
        <w:rPr>
          <w:rFonts w:ascii="Times New Roman" w:hAnsi="Times New Roman"/>
          <w:sz w:val="24"/>
          <w:szCs w:val="24"/>
        </w:rPr>
        <w:t>.</w:t>
      </w:r>
    </w:p>
    <w:p w14:paraId="56A08676" w14:textId="64B4F80E" w:rsidR="0048510F" w:rsidRDefault="0048510F" w:rsidP="00034AB3">
      <w:pPr>
        <w:pStyle w:val="ListParagraph"/>
        <w:spacing w:line="23" w:lineRule="atLeast"/>
        <w:ind w:left="1077" w:firstLine="720"/>
        <w:jc w:val="both"/>
        <w:rPr>
          <w:rFonts w:ascii="Times New Roman" w:hAnsi="Times New Roman"/>
          <w:sz w:val="24"/>
          <w:szCs w:val="24"/>
        </w:rPr>
      </w:pPr>
      <w:r w:rsidRPr="0048510F">
        <w:rPr>
          <w:rFonts w:ascii="Times New Roman" w:hAnsi="Times New Roman"/>
          <w:sz w:val="24"/>
          <w:szCs w:val="24"/>
        </w:rPr>
        <w:lastRenderedPageBreak/>
        <w:t xml:space="preserve">Suppose we compare the explanation above with the application in society by examining the </w:t>
      </w:r>
      <w:proofErr w:type="spellStart"/>
      <w:r w:rsidRPr="0048510F">
        <w:rPr>
          <w:rFonts w:ascii="Times New Roman" w:hAnsi="Times New Roman"/>
          <w:sz w:val="24"/>
          <w:szCs w:val="24"/>
        </w:rPr>
        <w:t>Bitung</w:t>
      </w:r>
      <w:proofErr w:type="spellEnd"/>
      <w:r w:rsidRPr="0048510F">
        <w:rPr>
          <w:rFonts w:ascii="Times New Roman" w:hAnsi="Times New Roman"/>
          <w:sz w:val="24"/>
          <w:szCs w:val="24"/>
        </w:rPr>
        <w:t xml:space="preserve"> District Court Number 4/</w:t>
      </w:r>
      <w:proofErr w:type="spellStart"/>
      <w:r w:rsidRPr="0048510F">
        <w:rPr>
          <w:rFonts w:ascii="Times New Roman" w:hAnsi="Times New Roman"/>
          <w:sz w:val="24"/>
          <w:szCs w:val="24"/>
        </w:rPr>
        <w:t>Pdt</w:t>
      </w:r>
      <w:proofErr w:type="spellEnd"/>
      <w:r w:rsidRPr="0048510F">
        <w:rPr>
          <w:rFonts w:ascii="Times New Roman" w:hAnsi="Times New Roman"/>
          <w:sz w:val="24"/>
          <w:szCs w:val="24"/>
        </w:rPr>
        <w:t xml:space="preserve"> Decision.GS/2021/PN Bit, the Plaintiff obtained a Credit Facility from the Defendant through a Debt Collector by pledging a 2012 Toyota Veloz Avanza as collateral. Initially, since the agreement, Plaintiff has regularly paid </w:t>
      </w:r>
      <w:proofErr w:type="spellStart"/>
      <w:r w:rsidRPr="0048510F">
        <w:rPr>
          <w:rFonts w:ascii="Times New Roman" w:hAnsi="Times New Roman"/>
          <w:sz w:val="24"/>
          <w:szCs w:val="24"/>
        </w:rPr>
        <w:t>installments</w:t>
      </w:r>
      <w:proofErr w:type="spellEnd"/>
      <w:r w:rsidRPr="0048510F">
        <w:rPr>
          <w:rFonts w:ascii="Times New Roman" w:hAnsi="Times New Roman"/>
          <w:sz w:val="24"/>
          <w:szCs w:val="24"/>
        </w:rPr>
        <w:t xml:space="preserve"> for up to 7 consecutive months.</w:t>
      </w:r>
    </w:p>
    <w:p w14:paraId="33B5F668" w14:textId="44D26604"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 xml:space="preserve">On March 26 2021, there was an oral agreement between the Plaintiff and the Defendant's representative with an agreement that the Plaintiff would pay the </w:t>
      </w:r>
      <w:proofErr w:type="spellStart"/>
      <w:r w:rsidRPr="008B775A">
        <w:rPr>
          <w:rFonts w:ascii="Times New Roman" w:hAnsi="Times New Roman"/>
          <w:sz w:val="24"/>
          <w:szCs w:val="24"/>
        </w:rPr>
        <w:t>installments</w:t>
      </w:r>
      <w:proofErr w:type="spellEnd"/>
      <w:r w:rsidRPr="008B775A">
        <w:rPr>
          <w:rFonts w:ascii="Times New Roman" w:hAnsi="Times New Roman"/>
          <w:sz w:val="24"/>
          <w:szCs w:val="24"/>
        </w:rPr>
        <w:t xml:space="preserve"> according to the agreement to the Defendant in April 2021, but on Sunday April 4 2021, the debt collector stopped the Plaintiff on a student street in Manado City, then the debt collector confiscated the vehicle keys. belonging to the Plaintiff without showing identity or a fiduciary certificate or court decision.</w:t>
      </w:r>
    </w:p>
    <w:p w14:paraId="66BABDCF" w14:textId="0872CBEB"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 xml:space="preserve">In other </w:t>
      </w:r>
      <w:r w:rsidR="00E57478" w:rsidRPr="008B775A">
        <w:rPr>
          <w:rFonts w:ascii="Times New Roman" w:hAnsi="Times New Roman"/>
          <w:sz w:val="24"/>
          <w:szCs w:val="24"/>
        </w:rPr>
        <w:t>cases,</w:t>
      </w:r>
      <w:r w:rsidRPr="008B775A">
        <w:rPr>
          <w:rFonts w:ascii="Times New Roman" w:hAnsi="Times New Roman"/>
          <w:sz w:val="24"/>
          <w:szCs w:val="24"/>
        </w:rPr>
        <w:t xml:space="preserve"> in the decision </w:t>
      </w:r>
      <w:r w:rsidRPr="008B775A">
        <w:rPr>
          <w:rStyle w:val="Strong"/>
          <w:rFonts w:ascii="Times New Roman" w:eastAsiaTheme="majorEastAsia" w:hAnsi="Times New Roman"/>
          <w:b w:val="0"/>
          <w:bCs w:val="0"/>
          <w:sz w:val="24"/>
          <w:szCs w:val="24"/>
          <w:shd w:val="clear" w:color="auto" w:fill="FFFFFF"/>
        </w:rPr>
        <w:t xml:space="preserve">Batam District Court Number 295/ </w:t>
      </w:r>
      <w:proofErr w:type="spellStart"/>
      <w:r w:rsidRPr="008B775A">
        <w:rPr>
          <w:rStyle w:val="Strong"/>
          <w:rFonts w:ascii="Times New Roman" w:eastAsiaTheme="majorEastAsia" w:hAnsi="Times New Roman"/>
          <w:b w:val="0"/>
          <w:bCs w:val="0"/>
          <w:sz w:val="24"/>
          <w:szCs w:val="24"/>
          <w:shd w:val="clear" w:color="auto" w:fill="FFFFFF"/>
        </w:rPr>
        <w:t>Pdt.G</w:t>
      </w:r>
      <w:proofErr w:type="spellEnd"/>
      <w:r w:rsidRPr="008B775A">
        <w:rPr>
          <w:rStyle w:val="Strong"/>
          <w:rFonts w:ascii="Times New Roman" w:eastAsiaTheme="majorEastAsia" w:hAnsi="Times New Roman"/>
          <w:b w:val="0"/>
          <w:bCs w:val="0"/>
          <w:sz w:val="24"/>
          <w:szCs w:val="24"/>
          <w:shd w:val="clear" w:color="auto" w:fill="FFFFFF"/>
        </w:rPr>
        <w:t>/ 2020 / Batam District Court. That the Plaintif</w:t>
      </w:r>
      <w:r w:rsidRPr="008B775A">
        <w:rPr>
          <w:rStyle w:val="Strong"/>
          <w:rFonts w:ascii="Times New Roman" w:eastAsiaTheme="majorEastAsia" w:hAnsi="Times New Roman"/>
          <w:sz w:val="24"/>
          <w:szCs w:val="24"/>
          <w:shd w:val="clear" w:color="auto" w:fill="FFFFFF"/>
        </w:rPr>
        <w:t xml:space="preserve">f </w:t>
      </w:r>
      <w:r w:rsidRPr="008B775A">
        <w:rPr>
          <w:rFonts w:ascii="Times New Roman" w:hAnsi="Times New Roman"/>
          <w:sz w:val="24"/>
          <w:szCs w:val="24"/>
        </w:rPr>
        <w:t>obtained a Credit Facility from the Defendant by pledging a Toyota Rush Car to the Defendant, who is the Toyota Astra Company.</w:t>
      </w:r>
    </w:p>
    <w:p w14:paraId="3496F7EF" w14:textId="77777777"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On September 2 2020, the Defendant ordered his Debt Collector to confiscate the Plaintiff's car, but the Plaintiff asked the Defendant to produce a Court Determination Letter, but he could not show the letter, so the forced withdrawal of the guarantee could not be carried out. The defendant continued to do this on September 12 2020 at 12.00.</w:t>
      </w:r>
    </w:p>
    <w:p w14:paraId="1EB2557B" w14:textId="77777777"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After that, on October 10 2020, the Defendant, in the same condition, still did not have a court order, and finally insisted on confiscating the Fiduciary Guarantee. However, in the end, even though the judge's decision said that the Plaintiff's claim was not accepted because according to the judge the Plaintiff was not clear in explaining the position of the claim.</w:t>
      </w:r>
    </w:p>
    <w:p w14:paraId="3A86185D" w14:textId="6BACD403"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Based on this decision</w:t>
      </w:r>
      <w:r w:rsidR="006A3113">
        <w:rPr>
          <w:rFonts w:ascii="Times New Roman" w:hAnsi="Times New Roman"/>
          <w:sz w:val="24"/>
          <w:szCs w:val="24"/>
        </w:rPr>
        <w:t xml:space="preserve">, </w:t>
      </w:r>
      <w:r w:rsidR="006A3113" w:rsidRPr="006A3113">
        <w:rPr>
          <w:rFonts w:ascii="Times New Roman" w:hAnsi="Times New Roman"/>
          <w:sz w:val="24"/>
          <w:szCs w:val="24"/>
        </w:rPr>
        <w:t>the actual execution conducted deviated from the legal provisions that were supposed to be followed, even post Constitutional Court Decision Number 18/PUU-XVII/2019 and Number 2/PUU-XIX/2021. This discrepancy poses a challenge to the principles of legal certainty and justice. Ideally, there is a desire for the legal framework to establish a pattern consistent with societal values, aiming to safeguard and promote the values cherished by the community.</w:t>
      </w:r>
      <w:r w:rsidR="00970A41" w:rsidRPr="00552667">
        <w:rPr>
          <w:rStyle w:val="FootnoteReference"/>
        </w:rPr>
        <w:footnoteReference w:id="13"/>
      </w:r>
    </w:p>
    <w:p w14:paraId="456188F8" w14:textId="0293EF4C" w:rsidR="0070111B"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The condition for the validity of an execution in accordance with applicable regulations is that there is a request for execution after a court decision has permanent legal force, which basically means that the termination of this decision must be carried out by the losing party voluntarily.</w:t>
      </w:r>
      <w:r w:rsidR="00823330" w:rsidRPr="00823330">
        <w:rPr>
          <w:rStyle w:val="FootnoteReference"/>
        </w:rPr>
        <w:t xml:space="preserve"> </w:t>
      </w:r>
      <w:r w:rsidR="00823330" w:rsidRPr="00552667">
        <w:rPr>
          <w:rStyle w:val="FootnoteReference"/>
        </w:rPr>
        <w:footnoteReference w:id="14"/>
      </w:r>
      <w:r w:rsidRPr="008B775A">
        <w:rPr>
          <w:rFonts w:ascii="Times New Roman" w:hAnsi="Times New Roman"/>
          <w:sz w:val="24"/>
          <w:szCs w:val="24"/>
        </w:rPr>
        <w:t xml:space="preserve"> After that, </w:t>
      </w:r>
      <w:r w:rsidRPr="008B775A">
        <w:rPr>
          <w:rFonts w:ascii="Times New Roman" w:hAnsi="Times New Roman"/>
          <w:sz w:val="24"/>
          <w:szCs w:val="24"/>
        </w:rPr>
        <w:lastRenderedPageBreak/>
        <w:t>the chairman of the court gave a warning so that he could carry out the decision voluntarily within the specified time after the chairman of the court received the request for execution. However, if the result remains the same, namely the losing party insists on not complying with the decision, then in accordance with the decision the court will follow up by issuing a decree containing orders to the clerk and bailiff to confiscate the defendant's assets and carry out the execution. After the execution process, the proceeds from the confiscated collateral can be auctioned</w:t>
      </w:r>
      <w:r w:rsidR="007E6ED8">
        <w:rPr>
          <w:rStyle w:val="FootnoteReference"/>
          <w:rFonts w:ascii="Times New Roman" w:hAnsi="Times New Roman"/>
          <w:sz w:val="24"/>
          <w:szCs w:val="24"/>
        </w:rPr>
        <w:footnoteReference w:id="15"/>
      </w:r>
      <w:r w:rsidRPr="008B775A">
        <w:rPr>
          <w:rFonts w:ascii="Times New Roman" w:hAnsi="Times New Roman"/>
          <w:sz w:val="24"/>
          <w:szCs w:val="24"/>
        </w:rPr>
        <w:t>.</w:t>
      </w:r>
    </w:p>
    <w:p w14:paraId="731B8152" w14:textId="78FE95DC" w:rsidR="00AD28D8" w:rsidRDefault="00AD28D8" w:rsidP="00034AB3">
      <w:pPr>
        <w:pStyle w:val="ListParagraph"/>
        <w:spacing w:line="23" w:lineRule="atLeast"/>
        <w:ind w:left="1077" w:firstLine="720"/>
        <w:jc w:val="both"/>
        <w:rPr>
          <w:rFonts w:ascii="Times New Roman" w:hAnsi="Times New Roman"/>
          <w:sz w:val="24"/>
          <w:szCs w:val="24"/>
        </w:rPr>
      </w:pPr>
      <w:r w:rsidRPr="00AD28D8">
        <w:rPr>
          <w:rFonts w:ascii="Times New Roman" w:hAnsi="Times New Roman"/>
          <w:sz w:val="24"/>
          <w:szCs w:val="24"/>
        </w:rPr>
        <w:t>In another case in Depok's court ruling number 0518/</w:t>
      </w:r>
      <w:proofErr w:type="spellStart"/>
      <w:r w:rsidRPr="00AD28D8">
        <w:rPr>
          <w:rFonts w:ascii="Times New Roman" w:hAnsi="Times New Roman"/>
          <w:sz w:val="24"/>
          <w:szCs w:val="24"/>
        </w:rPr>
        <w:t>Pdt.G</w:t>
      </w:r>
      <w:proofErr w:type="spellEnd"/>
      <w:r w:rsidRPr="00AD28D8">
        <w:rPr>
          <w:rFonts w:ascii="Times New Roman" w:hAnsi="Times New Roman"/>
          <w:sz w:val="24"/>
          <w:szCs w:val="24"/>
        </w:rPr>
        <w:t>/2020/</w:t>
      </w:r>
      <w:proofErr w:type="spellStart"/>
      <w:proofErr w:type="gramStart"/>
      <w:r w:rsidRPr="00AD28D8">
        <w:rPr>
          <w:rFonts w:ascii="Times New Roman" w:hAnsi="Times New Roman"/>
          <w:sz w:val="24"/>
          <w:szCs w:val="24"/>
        </w:rPr>
        <w:t>PA.Dpk</w:t>
      </w:r>
      <w:proofErr w:type="spellEnd"/>
      <w:proofErr w:type="gramEnd"/>
      <w:r w:rsidRPr="00AD28D8">
        <w:rPr>
          <w:rFonts w:ascii="Times New Roman" w:hAnsi="Times New Roman"/>
          <w:sz w:val="24"/>
          <w:szCs w:val="24"/>
        </w:rPr>
        <w:t xml:space="preserve">, the plaintiff, who is the lawful wife of the accused, dropped divorce. The plaintiffs are dropping the divorce because the plaintiff is not open to the financial problems that the defendants </w:t>
      </w:r>
      <w:proofErr w:type="gramStart"/>
      <w:r w:rsidRPr="00AD28D8">
        <w:rPr>
          <w:rFonts w:ascii="Times New Roman" w:hAnsi="Times New Roman"/>
          <w:sz w:val="24"/>
          <w:szCs w:val="24"/>
        </w:rPr>
        <w:t>have to</w:t>
      </w:r>
      <w:proofErr w:type="gramEnd"/>
      <w:r w:rsidRPr="00AD28D8">
        <w:rPr>
          <w:rFonts w:ascii="Times New Roman" w:hAnsi="Times New Roman"/>
          <w:sz w:val="24"/>
          <w:szCs w:val="24"/>
        </w:rPr>
        <w:t xml:space="preserve"> deal with </w:t>
      </w:r>
      <w:proofErr w:type="spellStart"/>
      <w:r w:rsidRPr="00AD28D8">
        <w:rPr>
          <w:rFonts w:ascii="Times New Roman" w:hAnsi="Times New Roman"/>
          <w:sz w:val="24"/>
          <w:szCs w:val="24"/>
        </w:rPr>
        <w:t>with</w:t>
      </w:r>
      <w:proofErr w:type="spellEnd"/>
      <w:r w:rsidRPr="00AD28D8">
        <w:rPr>
          <w:rFonts w:ascii="Times New Roman" w:hAnsi="Times New Roman"/>
          <w:sz w:val="24"/>
          <w:szCs w:val="24"/>
        </w:rPr>
        <w:t xml:space="preserve"> a creditor without the plaintiff's knowledge. In the case of the decision, the state minister said that the creditor and the plaintiffs were often referred to by debt collectors because of the high inflationary pressure on state receipts.</w:t>
      </w:r>
    </w:p>
    <w:p w14:paraId="2115DF37" w14:textId="77777777" w:rsidR="00AD28D8" w:rsidRPr="00AD28D8" w:rsidRDefault="00AD28D8" w:rsidP="00AD28D8">
      <w:pPr>
        <w:pStyle w:val="ListParagraph"/>
        <w:spacing w:line="23" w:lineRule="atLeast"/>
        <w:ind w:left="1077" w:firstLine="720"/>
        <w:jc w:val="both"/>
        <w:rPr>
          <w:rFonts w:ascii="Times New Roman" w:hAnsi="Times New Roman"/>
          <w:sz w:val="24"/>
          <w:szCs w:val="24"/>
        </w:rPr>
      </w:pPr>
      <w:r w:rsidRPr="00AD28D8">
        <w:rPr>
          <w:rFonts w:ascii="Times New Roman" w:hAnsi="Times New Roman"/>
          <w:sz w:val="24"/>
          <w:szCs w:val="24"/>
        </w:rPr>
        <w:t xml:space="preserve">Furthermore, in another case in the court of Cibinong District Court number 71, PDT. G/2019/PN CBI, </w:t>
      </w:r>
      <w:proofErr w:type="gramStart"/>
      <w:r w:rsidRPr="00AD28D8">
        <w:rPr>
          <w:rFonts w:ascii="Times New Roman" w:hAnsi="Times New Roman"/>
          <w:sz w:val="24"/>
          <w:szCs w:val="24"/>
        </w:rPr>
        <w:t>In</w:t>
      </w:r>
      <w:proofErr w:type="gramEnd"/>
      <w:r w:rsidRPr="00AD28D8">
        <w:rPr>
          <w:rFonts w:ascii="Times New Roman" w:hAnsi="Times New Roman"/>
          <w:sz w:val="24"/>
          <w:szCs w:val="24"/>
        </w:rPr>
        <w:t xml:space="preserve"> this case, the defendant, who is a friend of the defendant iii, has rendered financial assistance to the plaintiff iii without the knowledge of the plaintiff as her lawful husband. The grant involved loaning money and the transfer of land certificates as security for debt. The accused and accused II, also as lenders, demanded the assurance with physical threats and demanded the accused hand over the deed to the land.</w:t>
      </w:r>
    </w:p>
    <w:p w14:paraId="5F210E3B" w14:textId="77777777" w:rsidR="00AD28D8" w:rsidRPr="00AD28D8" w:rsidRDefault="00AD28D8" w:rsidP="00AD28D8">
      <w:pPr>
        <w:pStyle w:val="ListParagraph"/>
        <w:spacing w:line="23" w:lineRule="atLeast"/>
        <w:ind w:left="1077" w:firstLine="720"/>
        <w:jc w:val="both"/>
        <w:rPr>
          <w:rFonts w:ascii="Times New Roman" w:hAnsi="Times New Roman"/>
          <w:sz w:val="24"/>
          <w:szCs w:val="24"/>
        </w:rPr>
      </w:pPr>
      <w:r w:rsidRPr="00AD28D8">
        <w:rPr>
          <w:rFonts w:ascii="Times New Roman" w:hAnsi="Times New Roman"/>
          <w:sz w:val="24"/>
          <w:szCs w:val="24"/>
        </w:rPr>
        <w:t>The plaintiff's lawful husband should get approval from the plaintiff before delivering the bail. However, all these actions were performed without the knowledge and permission of the plaintiff. This would be contrary to the law of marriage, in which a treasure obtained during marriage is a common treasure, and such an act could be viewed as unlawful.</w:t>
      </w:r>
    </w:p>
    <w:p w14:paraId="122BD1B1" w14:textId="77777777" w:rsidR="00AD28D8" w:rsidRPr="00AD28D8" w:rsidRDefault="00AD28D8" w:rsidP="00AD28D8">
      <w:pPr>
        <w:pStyle w:val="ListParagraph"/>
        <w:spacing w:line="23" w:lineRule="atLeast"/>
        <w:ind w:left="1077" w:firstLine="720"/>
        <w:jc w:val="both"/>
        <w:rPr>
          <w:rFonts w:ascii="Times New Roman" w:hAnsi="Times New Roman"/>
          <w:sz w:val="24"/>
          <w:szCs w:val="24"/>
        </w:rPr>
      </w:pPr>
      <w:r w:rsidRPr="00AD28D8">
        <w:rPr>
          <w:rFonts w:ascii="Times New Roman" w:hAnsi="Times New Roman"/>
          <w:sz w:val="24"/>
          <w:szCs w:val="24"/>
        </w:rPr>
        <w:t>In addition, there was extortion and threats of violence committed by the defendants and defendants II, resulting in the release of the land certificate without the plaintiff's consent. Although the plaintiffs and the defendants also tried to file a police report, they encountered an obstacle and suspected coordination between the defendant and defendant II with the local police.</w:t>
      </w:r>
    </w:p>
    <w:p w14:paraId="560B636B" w14:textId="36182820" w:rsidR="00AD28D8" w:rsidRPr="00AD28D8" w:rsidRDefault="00AD28D8" w:rsidP="00AD28D8">
      <w:pPr>
        <w:pStyle w:val="ListParagraph"/>
        <w:spacing w:line="23" w:lineRule="atLeast"/>
        <w:ind w:left="1077" w:firstLine="720"/>
        <w:jc w:val="both"/>
        <w:rPr>
          <w:rFonts w:ascii="Times New Roman" w:hAnsi="Times New Roman"/>
          <w:sz w:val="24"/>
          <w:szCs w:val="24"/>
        </w:rPr>
      </w:pPr>
      <w:r w:rsidRPr="00AD28D8">
        <w:rPr>
          <w:rFonts w:ascii="Times New Roman" w:hAnsi="Times New Roman"/>
          <w:sz w:val="24"/>
          <w:szCs w:val="24"/>
        </w:rPr>
        <w:t xml:space="preserve">In addition, the defendants 1, 2, and the early </w:t>
      </w:r>
      <w:proofErr w:type="spellStart"/>
      <w:r w:rsidRPr="00AD28D8">
        <w:rPr>
          <w:rFonts w:ascii="Times New Roman" w:hAnsi="Times New Roman"/>
          <w:sz w:val="24"/>
          <w:szCs w:val="24"/>
        </w:rPr>
        <w:t>rospita</w:t>
      </w:r>
      <w:proofErr w:type="spellEnd"/>
      <w:r w:rsidRPr="00AD28D8">
        <w:rPr>
          <w:rFonts w:ascii="Times New Roman" w:hAnsi="Times New Roman"/>
          <w:sz w:val="24"/>
          <w:szCs w:val="24"/>
        </w:rPr>
        <w:t xml:space="preserve"> and their debtors were forcibly brought into the house by breaking the door of the plaintiff and then by threatening to take it.</w:t>
      </w:r>
    </w:p>
    <w:p w14:paraId="49D05C1F" w14:textId="0217F590" w:rsidR="0070111B" w:rsidRPr="008B775A" w:rsidRDefault="0070111B"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 xml:space="preserve">Based on the flow of the execution, the two decision cases above still do not meet the standards for good execution as explained in National Police Chief Regulation Number 8 of 2011. In the </w:t>
      </w:r>
      <w:proofErr w:type="spellStart"/>
      <w:r w:rsidRPr="008B775A">
        <w:rPr>
          <w:rFonts w:ascii="Times New Roman" w:hAnsi="Times New Roman"/>
          <w:sz w:val="24"/>
          <w:szCs w:val="24"/>
        </w:rPr>
        <w:t>Bitung</w:t>
      </w:r>
      <w:proofErr w:type="spellEnd"/>
      <w:r w:rsidRPr="008B775A">
        <w:rPr>
          <w:rFonts w:ascii="Times New Roman" w:hAnsi="Times New Roman"/>
          <w:sz w:val="24"/>
          <w:szCs w:val="24"/>
        </w:rPr>
        <w:t xml:space="preserve"> District Court decision Number 4/Pdt.GS/2021/PN Bit, the process of taking fiduciary guarantees was carried out arbitrarily by blocking them on the highway, without showing a </w:t>
      </w:r>
      <w:r w:rsidRPr="008B775A">
        <w:rPr>
          <w:rFonts w:ascii="Times New Roman" w:hAnsi="Times New Roman"/>
          <w:sz w:val="24"/>
          <w:szCs w:val="24"/>
        </w:rPr>
        <w:lastRenderedPageBreak/>
        <w:t xml:space="preserve">court order, this should be the basis for the illegality of the action </w:t>
      </w:r>
      <w:proofErr w:type="gramStart"/>
      <w:r w:rsidRPr="008B775A">
        <w:rPr>
          <w:rFonts w:ascii="Times New Roman" w:hAnsi="Times New Roman"/>
          <w:sz w:val="24"/>
          <w:szCs w:val="24"/>
        </w:rPr>
        <w:t>and also</w:t>
      </w:r>
      <w:proofErr w:type="gramEnd"/>
      <w:r w:rsidRPr="008B775A">
        <w:rPr>
          <w:rFonts w:ascii="Times New Roman" w:hAnsi="Times New Roman"/>
          <w:sz w:val="24"/>
          <w:szCs w:val="24"/>
        </w:rPr>
        <w:t xml:space="preserve"> violates consumer rights</w:t>
      </w:r>
      <w:r w:rsidR="00076AA1" w:rsidRPr="00552667">
        <w:rPr>
          <w:rStyle w:val="FootnoteReference"/>
        </w:rPr>
        <w:footnoteReference w:id="16"/>
      </w:r>
      <w:r w:rsidRPr="008B775A">
        <w:rPr>
          <w:rFonts w:ascii="Times New Roman" w:hAnsi="Times New Roman"/>
          <w:sz w:val="24"/>
          <w:szCs w:val="24"/>
        </w:rPr>
        <w:t>.</w:t>
      </w:r>
    </w:p>
    <w:p w14:paraId="155F7154" w14:textId="36D4650C" w:rsidR="00FE487C" w:rsidRDefault="0070111B" w:rsidP="00391F8C">
      <w:pPr>
        <w:pStyle w:val="ListParagraph"/>
        <w:spacing w:line="23" w:lineRule="atLeast"/>
        <w:ind w:left="1077" w:firstLine="720"/>
        <w:jc w:val="both"/>
        <w:rPr>
          <w:rStyle w:val="Strong"/>
          <w:rFonts w:ascii="Times New Roman" w:eastAsiaTheme="majorEastAsia" w:hAnsi="Times New Roman"/>
          <w:b w:val="0"/>
          <w:bCs w:val="0"/>
          <w:sz w:val="24"/>
          <w:szCs w:val="24"/>
          <w:shd w:val="clear" w:color="auto" w:fill="FFFFFF"/>
        </w:rPr>
      </w:pPr>
      <w:r w:rsidRPr="008B775A">
        <w:rPr>
          <w:rFonts w:ascii="Times New Roman" w:hAnsi="Times New Roman"/>
          <w:sz w:val="24"/>
          <w:szCs w:val="24"/>
        </w:rPr>
        <w:t xml:space="preserve">In the case of the District Court decision </w:t>
      </w:r>
      <w:r w:rsidRPr="008B775A">
        <w:rPr>
          <w:rStyle w:val="Strong"/>
          <w:rFonts w:ascii="Times New Roman" w:eastAsiaTheme="majorEastAsia" w:hAnsi="Times New Roman"/>
          <w:b w:val="0"/>
          <w:bCs w:val="0"/>
          <w:sz w:val="24"/>
          <w:szCs w:val="24"/>
          <w:shd w:val="clear" w:color="auto" w:fill="FFFFFF"/>
        </w:rPr>
        <w:t xml:space="preserve">Batam Number 295/ </w:t>
      </w:r>
      <w:proofErr w:type="spellStart"/>
      <w:r w:rsidRPr="008B775A">
        <w:rPr>
          <w:rStyle w:val="Strong"/>
          <w:rFonts w:ascii="Times New Roman" w:eastAsiaTheme="majorEastAsia" w:hAnsi="Times New Roman"/>
          <w:b w:val="0"/>
          <w:bCs w:val="0"/>
          <w:sz w:val="24"/>
          <w:szCs w:val="24"/>
          <w:shd w:val="clear" w:color="auto" w:fill="FFFFFF"/>
        </w:rPr>
        <w:t>Pdt.G</w:t>
      </w:r>
      <w:proofErr w:type="spellEnd"/>
      <w:r w:rsidRPr="008B775A">
        <w:rPr>
          <w:rStyle w:val="Strong"/>
          <w:rFonts w:ascii="Times New Roman" w:eastAsiaTheme="majorEastAsia" w:hAnsi="Times New Roman"/>
          <w:b w:val="0"/>
          <w:bCs w:val="0"/>
          <w:sz w:val="24"/>
          <w:szCs w:val="24"/>
          <w:shd w:val="clear" w:color="auto" w:fill="FFFFFF"/>
        </w:rPr>
        <w:t>/ 2020 / PN Batam there was also a violation of the procedures for taking fiduciary objects because they were unable to submit a court order. Although the judge rejected the Plaintiff's lawsuit because of the lack of clarity in the explanation of the position of the lawsuit, this decision did not cancel the fact that the forced withdrawal was carried out without any basis. clear law. This shows the importance of the government involving the judiciary and following applicable legal procedures in every act of forced withdrawal or confiscation.</w:t>
      </w:r>
    </w:p>
    <w:p w14:paraId="27CD906A" w14:textId="77777777" w:rsidR="005A6801" w:rsidRPr="00391F8C" w:rsidRDefault="005A6801" w:rsidP="00391F8C">
      <w:pPr>
        <w:pStyle w:val="ListParagraph"/>
        <w:spacing w:line="23" w:lineRule="atLeast"/>
        <w:ind w:left="1077" w:firstLine="720"/>
        <w:jc w:val="both"/>
        <w:rPr>
          <w:rFonts w:ascii="Times New Roman" w:eastAsiaTheme="majorEastAsia" w:hAnsi="Times New Roman"/>
          <w:sz w:val="24"/>
          <w:szCs w:val="24"/>
          <w:shd w:val="clear" w:color="auto" w:fill="FFFFFF"/>
        </w:rPr>
      </w:pPr>
    </w:p>
    <w:p w14:paraId="34C14D22" w14:textId="243791AC" w:rsidR="00E475AC" w:rsidRPr="008B775A" w:rsidRDefault="00E475AC" w:rsidP="00C63B89">
      <w:pPr>
        <w:pStyle w:val="ListParagraph"/>
        <w:numPr>
          <w:ilvl w:val="1"/>
          <w:numId w:val="1"/>
        </w:numPr>
        <w:spacing w:line="23" w:lineRule="atLeast"/>
        <w:jc w:val="both"/>
        <w:rPr>
          <w:rFonts w:ascii="Times New Roman" w:hAnsi="Times New Roman"/>
          <w:b/>
          <w:bCs/>
          <w:sz w:val="24"/>
          <w:szCs w:val="24"/>
        </w:rPr>
      </w:pPr>
      <w:r w:rsidRPr="008B775A">
        <w:rPr>
          <w:rFonts w:ascii="Times New Roman" w:hAnsi="Times New Roman"/>
          <w:b/>
          <w:bCs/>
          <w:sz w:val="24"/>
          <w:szCs w:val="24"/>
        </w:rPr>
        <w:t>Creditors Responsibilities in Resolving Fiduciary Disputes That Are Not in Accordance with Constitutional Court Decision Number 18/PUU-XVII/2019 and Constitutional Court Decision Number 2/PUU-XIX/2021.</w:t>
      </w:r>
    </w:p>
    <w:p w14:paraId="59883DBB" w14:textId="43DD279E" w:rsidR="00742268" w:rsidRPr="00742268" w:rsidRDefault="00742268" w:rsidP="00742268">
      <w:pPr>
        <w:pStyle w:val="ListParagraph"/>
        <w:spacing w:line="23" w:lineRule="atLeast"/>
        <w:ind w:left="1077" w:firstLine="720"/>
        <w:jc w:val="both"/>
        <w:rPr>
          <w:rStyle w:val="A6"/>
          <w:rFonts w:ascii="Times New Roman" w:hAnsi="Times New Roman"/>
          <w:sz w:val="24"/>
          <w:szCs w:val="24"/>
        </w:rPr>
      </w:pPr>
      <w:r w:rsidRPr="00742268">
        <w:rPr>
          <w:rStyle w:val="A6"/>
          <w:rFonts w:ascii="Times New Roman" w:hAnsi="Times New Roman"/>
          <w:sz w:val="24"/>
          <w:szCs w:val="24"/>
        </w:rPr>
        <w:t>Generally, the responsibility of creditors toward settling fiduciary bail issues that are not in line with Constitutional Court ruling may involve some considerations</w:t>
      </w:r>
      <w:r w:rsidR="003D5650">
        <w:rPr>
          <w:rStyle w:val="FootnoteReference"/>
          <w:rFonts w:ascii="Times New Roman" w:hAnsi="Times New Roman"/>
          <w:color w:val="000000"/>
          <w:sz w:val="24"/>
          <w:szCs w:val="24"/>
        </w:rPr>
        <w:footnoteReference w:id="17"/>
      </w:r>
      <w:r w:rsidRPr="00742268">
        <w:rPr>
          <w:rStyle w:val="A6"/>
          <w:rFonts w:ascii="Times New Roman" w:hAnsi="Times New Roman"/>
          <w:sz w:val="24"/>
          <w:szCs w:val="24"/>
        </w:rPr>
        <w:t>:</w:t>
      </w:r>
    </w:p>
    <w:p w14:paraId="6F8E550C" w14:textId="78533B07" w:rsidR="00742268" w:rsidRPr="00742268" w:rsidRDefault="00742268" w:rsidP="00742268">
      <w:pPr>
        <w:pStyle w:val="ListParagraph"/>
        <w:spacing w:line="23" w:lineRule="atLeast"/>
        <w:ind w:left="1077" w:firstLine="720"/>
        <w:jc w:val="both"/>
        <w:rPr>
          <w:rStyle w:val="A6"/>
          <w:rFonts w:ascii="Times New Roman" w:hAnsi="Times New Roman"/>
          <w:sz w:val="24"/>
          <w:szCs w:val="24"/>
        </w:rPr>
      </w:pPr>
      <w:r>
        <w:rPr>
          <w:rStyle w:val="A6"/>
          <w:rFonts w:ascii="Times New Roman" w:hAnsi="Times New Roman"/>
          <w:sz w:val="24"/>
          <w:szCs w:val="24"/>
        </w:rPr>
        <w:t xml:space="preserve">First, </w:t>
      </w:r>
      <w:r w:rsidRPr="00742268">
        <w:rPr>
          <w:rStyle w:val="A6"/>
          <w:rFonts w:ascii="Times New Roman" w:hAnsi="Times New Roman"/>
          <w:sz w:val="24"/>
          <w:szCs w:val="24"/>
        </w:rPr>
        <w:t>Conformity to a constitutional court ruling: the creditor has the responsibility to understand and comply with the order of the constitutional court, which has the binding power of the law. Creditors must also ensure that their practices and policies are consistent with the terms outlined in the verdict.</w:t>
      </w:r>
    </w:p>
    <w:p w14:paraId="33EB317F" w14:textId="4C7DEA96" w:rsidR="00742268" w:rsidRPr="00742268" w:rsidRDefault="00742268" w:rsidP="00742268">
      <w:pPr>
        <w:pStyle w:val="ListParagraph"/>
        <w:spacing w:line="23" w:lineRule="atLeast"/>
        <w:ind w:left="1077" w:firstLine="720"/>
        <w:jc w:val="both"/>
        <w:rPr>
          <w:rStyle w:val="A6"/>
          <w:rFonts w:ascii="Times New Roman" w:hAnsi="Times New Roman"/>
          <w:sz w:val="24"/>
          <w:szCs w:val="24"/>
        </w:rPr>
      </w:pPr>
      <w:r>
        <w:rPr>
          <w:rStyle w:val="A6"/>
          <w:rFonts w:ascii="Times New Roman" w:hAnsi="Times New Roman"/>
          <w:sz w:val="24"/>
          <w:szCs w:val="24"/>
        </w:rPr>
        <w:t xml:space="preserve">Second, </w:t>
      </w:r>
      <w:r w:rsidRPr="00742268">
        <w:rPr>
          <w:rStyle w:val="A6"/>
          <w:rFonts w:ascii="Times New Roman" w:hAnsi="Times New Roman"/>
          <w:sz w:val="24"/>
          <w:szCs w:val="24"/>
        </w:rPr>
        <w:t>Involvement in settling: creditors are expected to participate in the settling of the issue if fiduciary issues are not in accord with constitutional court rulings, which can include negotiation, mediation, or other alternative methods.</w:t>
      </w:r>
    </w:p>
    <w:p w14:paraId="27625A3A" w14:textId="75AF5013" w:rsidR="00742268" w:rsidRPr="00742268" w:rsidRDefault="00742268" w:rsidP="00742268">
      <w:pPr>
        <w:pStyle w:val="ListParagraph"/>
        <w:spacing w:line="23" w:lineRule="atLeast"/>
        <w:ind w:left="1077" w:firstLine="720"/>
        <w:jc w:val="both"/>
        <w:rPr>
          <w:rStyle w:val="A6"/>
          <w:rFonts w:ascii="Times New Roman" w:hAnsi="Times New Roman"/>
          <w:sz w:val="24"/>
          <w:szCs w:val="24"/>
        </w:rPr>
      </w:pPr>
      <w:r>
        <w:rPr>
          <w:rStyle w:val="A6"/>
          <w:rFonts w:ascii="Times New Roman" w:hAnsi="Times New Roman"/>
          <w:sz w:val="24"/>
          <w:szCs w:val="24"/>
        </w:rPr>
        <w:t>Third,</w:t>
      </w:r>
      <w:r w:rsidRPr="00742268">
        <w:rPr>
          <w:rStyle w:val="A6"/>
          <w:rFonts w:ascii="Times New Roman" w:hAnsi="Times New Roman"/>
          <w:sz w:val="24"/>
          <w:szCs w:val="24"/>
        </w:rPr>
        <w:t xml:space="preserve"> Fiduciary agreement review: creditors may need to review current fiduciary agreements to ensure that the conditions correspond to mk. When required, an agreement can be amended or tailored. </w:t>
      </w:r>
    </w:p>
    <w:p w14:paraId="4FF64D2C" w14:textId="0C9142C7" w:rsidR="00742268" w:rsidRPr="00742268" w:rsidRDefault="00742268" w:rsidP="00742268">
      <w:pPr>
        <w:pStyle w:val="ListParagraph"/>
        <w:spacing w:line="23" w:lineRule="atLeast"/>
        <w:ind w:left="1077" w:firstLine="720"/>
        <w:jc w:val="both"/>
        <w:rPr>
          <w:rStyle w:val="A6"/>
          <w:rFonts w:ascii="Times New Roman" w:hAnsi="Times New Roman"/>
          <w:sz w:val="24"/>
          <w:szCs w:val="24"/>
        </w:rPr>
      </w:pPr>
      <w:r>
        <w:rPr>
          <w:rStyle w:val="A6"/>
          <w:rFonts w:ascii="Times New Roman" w:hAnsi="Times New Roman"/>
          <w:sz w:val="24"/>
          <w:szCs w:val="24"/>
        </w:rPr>
        <w:t>Fourth</w:t>
      </w:r>
      <w:r w:rsidRPr="00742268">
        <w:rPr>
          <w:rStyle w:val="A6"/>
          <w:rFonts w:ascii="Times New Roman" w:hAnsi="Times New Roman"/>
          <w:sz w:val="24"/>
          <w:szCs w:val="24"/>
        </w:rPr>
        <w:t xml:space="preserve"> Please consult a lawyer: creditors may consult a lawyer to ensure that their policies and actions comply with the current ruling and the rule of law. Lawyers can give specific recommendations based on the context and case details.</w:t>
      </w:r>
    </w:p>
    <w:p w14:paraId="0FF67C0F" w14:textId="00A987B9" w:rsidR="00742268" w:rsidRPr="00742268" w:rsidRDefault="00BA6F43" w:rsidP="00742268">
      <w:pPr>
        <w:pStyle w:val="ListParagraph"/>
        <w:spacing w:line="23" w:lineRule="atLeast"/>
        <w:ind w:left="1077" w:firstLine="720"/>
        <w:jc w:val="both"/>
        <w:rPr>
          <w:rStyle w:val="A6"/>
          <w:rFonts w:ascii="Times New Roman" w:hAnsi="Times New Roman"/>
          <w:sz w:val="24"/>
          <w:szCs w:val="24"/>
        </w:rPr>
      </w:pPr>
      <w:r>
        <w:rPr>
          <w:rStyle w:val="A6"/>
          <w:rFonts w:ascii="Times New Roman" w:hAnsi="Times New Roman"/>
          <w:sz w:val="24"/>
          <w:szCs w:val="24"/>
        </w:rPr>
        <w:lastRenderedPageBreak/>
        <w:t>Fifth,</w:t>
      </w:r>
      <w:r w:rsidR="00742268" w:rsidRPr="00742268">
        <w:rPr>
          <w:rStyle w:val="A6"/>
          <w:rFonts w:ascii="Times New Roman" w:hAnsi="Times New Roman"/>
          <w:sz w:val="24"/>
          <w:szCs w:val="24"/>
        </w:rPr>
        <w:t xml:space="preserve"> </w:t>
      </w:r>
      <w:proofErr w:type="gramStart"/>
      <w:r w:rsidR="00742268" w:rsidRPr="00742268">
        <w:rPr>
          <w:rStyle w:val="A6"/>
          <w:rFonts w:ascii="Times New Roman" w:hAnsi="Times New Roman"/>
          <w:sz w:val="24"/>
          <w:szCs w:val="24"/>
        </w:rPr>
        <w:t>Monitoring</w:t>
      </w:r>
      <w:proofErr w:type="gramEnd"/>
      <w:r w:rsidR="00742268" w:rsidRPr="00742268">
        <w:rPr>
          <w:rStyle w:val="A6"/>
          <w:rFonts w:ascii="Times New Roman" w:hAnsi="Times New Roman"/>
          <w:sz w:val="24"/>
          <w:szCs w:val="24"/>
        </w:rPr>
        <w:t xml:space="preserve"> of law changes: Because of frequent changes in the law, creditors are also responsible for monitoring changes in the direction that involve fiduciary guarantees and settling issues</w:t>
      </w:r>
      <w:r w:rsidR="00CC6B7A" w:rsidRPr="00552667">
        <w:rPr>
          <w:rStyle w:val="FootnoteReference"/>
        </w:rPr>
        <w:footnoteReference w:id="18"/>
      </w:r>
      <w:r w:rsidR="00742268" w:rsidRPr="00742268">
        <w:rPr>
          <w:rStyle w:val="A6"/>
          <w:rFonts w:ascii="Times New Roman" w:hAnsi="Times New Roman"/>
          <w:sz w:val="24"/>
          <w:szCs w:val="24"/>
        </w:rPr>
        <w:t>.</w:t>
      </w:r>
    </w:p>
    <w:p w14:paraId="5E90D58F" w14:textId="3B3947FA" w:rsidR="00BC2D78" w:rsidRPr="008B775A" w:rsidRDefault="00BC2D78" w:rsidP="00034AB3">
      <w:pPr>
        <w:pStyle w:val="ListParagraph"/>
        <w:spacing w:line="23" w:lineRule="atLeast"/>
        <w:ind w:left="1077" w:firstLine="720"/>
        <w:jc w:val="both"/>
        <w:rPr>
          <w:rStyle w:val="A6"/>
          <w:rFonts w:ascii="Times New Roman" w:hAnsi="Times New Roman"/>
          <w:sz w:val="24"/>
          <w:szCs w:val="24"/>
        </w:rPr>
      </w:pPr>
      <w:r w:rsidRPr="008B775A">
        <w:rPr>
          <w:rStyle w:val="A6"/>
          <w:rFonts w:ascii="Times New Roman" w:hAnsi="Times New Roman"/>
          <w:sz w:val="24"/>
          <w:szCs w:val="24"/>
        </w:rPr>
        <w:t xml:space="preserve">Creditors engaging in compelled withdrawals typically represent leasing companies. The Constitutional Court addressed this issue through Decision Number 18/PUU-XVII/2019, dated January 6, 2020. This decision arose from a judicial review request for Law 42/1999 submitted by </w:t>
      </w:r>
      <w:proofErr w:type="spellStart"/>
      <w:r w:rsidRPr="008B775A">
        <w:rPr>
          <w:rStyle w:val="A6"/>
          <w:rFonts w:ascii="Times New Roman" w:hAnsi="Times New Roman"/>
          <w:sz w:val="24"/>
          <w:szCs w:val="24"/>
        </w:rPr>
        <w:t>Apriliani</w:t>
      </w:r>
      <w:proofErr w:type="spellEnd"/>
      <w:r w:rsidRPr="008B775A">
        <w:rPr>
          <w:rStyle w:val="A6"/>
          <w:rFonts w:ascii="Times New Roman" w:hAnsi="Times New Roman"/>
          <w:sz w:val="24"/>
          <w:szCs w:val="24"/>
        </w:rPr>
        <w:t xml:space="preserve"> Dewi and Suri Agung Prabowo, a married couple. </w:t>
      </w:r>
      <w:proofErr w:type="spellStart"/>
      <w:r w:rsidRPr="008B775A">
        <w:rPr>
          <w:rStyle w:val="A6"/>
          <w:rFonts w:ascii="Times New Roman" w:hAnsi="Times New Roman"/>
          <w:sz w:val="24"/>
          <w:szCs w:val="24"/>
        </w:rPr>
        <w:t>Apriliani</w:t>
      </w:r>
      <w:proofErr w:type="spellEnd"/>
      <w:r w:rsidRPr="008B775A">
        <w:rPr>
          <w:rStyle w:val="A6"/>
          <w:rFonts w:ascii="Times New Roman" w:hAnsi="Times New Roman"/>
          <w:sz w:val="24"/>
          <w:szCs w:val="24"/>
        </w:rPr>
        <w:t>, functioning as a fiduciary, incurred direct losses due to the creditor's enforced withdrawal of the fiduciary collateral object.</w:t>
      </w:r>
    </w:p>
    <w:p w14:paraId="366B5348" w14:textId="705885EB" w:rsidR="00E475AC" w:rsidRDefault="00BC2D78" w:rsidP="00034AB3">
      <w:pPr>
        <w:pStyle w:val="ListParagraph"/>
        <w:spacing w:line="23" w:lineRule="atLeast"/>
        <w:ind w:left="1077" w:firstLine="720"/>
        <w:jc w:val="both"/>
        <w:rPr>
          <w:rStyle w:val="A6"/>
          <w:rFonts w:ascii="Times New Roman" w:hAnsi="Times New Roman"/>
          <w:sz w:val="24"/>
          <w:szCs w:val="24"/>
        </w:rPr>
      </w:pPr>
      <w:r w:rsidRPr="008B775A">
        <w:rPr>
          <w:rStyle w:val="A6"/>
          <w:rFonts w:ascii="Times New Roman" w:hAnsi="Times New Roman"/>
          <w:sz w:val="24"/>
          <w:szCs w:val="24"/>
        </w:rPr>
        <w:t>Following the ratification of Constitutional Court Decision Number 18/PUU-XVII/2019 and Number 2/PUU-XIX/2021, the creditor's position weakened. This was attributed to the shift in determining breaches of contract, now reliant on the debtor's acknowledgment. Consequently, the facilitation of execution, as outlined in Law No. 42 of 1999, lost its previous significance</w:t>
      </w:r>
      <w:r w:rsidR="00683113" w:rsidRPr="00552667">
        <w:rPr>
          <w:rStyle w:val="FootnoteReference"/>
        </w:rPr>
        <w:footnoteReference w:id="19"/>
      </w:r>
      <w:r w:rsidRPr="008B775A">
        <w:rPr>
          <w:rStyle w:val="A6"/>
          <w:rFonts w:ascii="Times New Roman" w:hAnsi="Times New Roman"/>
          <w:sz w:val="24"/>
          <w:szCs w:val="24"/>
        </w:rPr>
        <w:t>.</w:t>
      </w:r>
    </w:p>
    <w:p w14:paraId="3061D452" w14:textId="23AF60FA" w:rsidR="00D60983" w:rsidRPr="00A00615" w:rsidRDefault="00D60983" w:rsidP="00034AB3">
      <w:pPr>
        <w:pStyle w:val="ListParagraph"/>
        <w:spacing w:line="23" w:lineRule="atLeast"/>
        <w:ind w:left="1077" w:firstLine="720"/>
        <w:jc w:val="both"/>
        <w:rPr>
          <w:rStyle w:val="A6"/>
          <w:rFonts w:ascii="Times New Roman" w:hAnsi="Times New Roman"/>
          <w:color w:val="auto"/>
          <w:sz w:val="24"/>
          <w:szCs w:val="24"/>
        </w:rPr>
      </w:pPr>
      <w:r w:rsidRPr="00A00615">
        <w:rPr>
          <w:rStyle w:val="A6"/>
          <w:rFonts w:ascii="Times New Roman" w:hAnsi="Times New Roman"/>
          <w:color w:val="auto"/>
          <w:sz w:val="24"/>
          <w:szCs w:val="24"/>
        </w:rPr>
        <w:t>The constitutional court's decision requires the parties to agree on the idea of oath harm and a voluntary concession on the borrower's fiduciary bail to the creditor to carry out the bail. Suggests a notary document as a binding relationship between the two parties. Notary deeds were necessary to clarify and certify the integrity of the numerous fiduciary conditions. Furthermore, creditors and debtors should be able to grasp the meaning of each agreed-upon paragraph to avoid misunderstandings.</w:t>
      </w:r>
    </w:p>
    <w:p w14:paraId="77304753" w14:textId="4533CA2D" w:rsidR="00F32DC7" w:rsidRPr="00F32DC7" w:rsidRDefault="00F32DC7" w:rsidP="00034AB3">
      <w:pPr>
        <w:pStyle w:val="ListParagraph"/>
        <w:spacing w:line="23" w:lineRule="atLeast"/>
        <w:ind w:left="1077" w:firstLine="720"/>
        <w:jc w:val="both"/>
        <w:rPr>
          <w:rStyle w:val="A6"/>
          <w:rFonts w:ascii="Times New Roman" w:hAnsi="Times New Roman"/>
          <w:color w:val="auto"/>
          <w:sz w:val="24"/>
          <w:szCs w:val="24"/>
        </w:rPr>
      </w:pPr>
      <w:r w:rsidRPr="00A00615">
        <w:rPr>
          <w:rStyle w:val="A6"/>
          <w:rFonts w:ascii="Times New Roman" w:hAnsi="Times New Roman"/>
          <w:color w:val="auto"/>
          <w:sz w:val="24"/>
          <w:szCs w:val="24"/>
        </w:rPr>
        <w:t xml:space="preserve">The implication of the constitutional court ruling no. 18/ </w:t>
      </w:r>
      <w:proofErr w:type="spellStart"/>
      <w:r w:rsidRPr="00A00615">
        <w:rPr>
          <w:rStyle w:val="A6"/>
          <w:rFonts w:ascii="Times New Roman" w:hAnsi="Times New Roman"/>
          <w:color w:val="auto"/>
          <w:sz w:val="24"/>
          <w:szCs w:val="24"/>
        </w:rPr>
        <w:t>puu</w:t>
      </w:r>
      <w:proofErr w:type="spellEnd"/>
      <w:r w:rsidRPr="00A00615">
        <w:rPr>
          <w:rStyle w:val="A6"/>
          <w:rFonts w:ascii="Times New Roman" w:hAnsi="Times New Roman"/>
          <w:color w:val="auto"/>
          <w:sz w:val="24"/>
          <w:szCs w:val="24"/>
        </w:rPr>
        <w:t>-xvii /2019 on January 6 is the execution process, followed by the auction registration process. With the limited time available for creditors to liquidate what is essentially a secured object for repayment of debts, there is no doubt that the risk will remain hidden. Creditors are, therefore, required to make the most of the time spent.</w:t>
      </w:r>
    </w:p>
    <w:p w14:paraId="4E66C29A" w14:textId="3D96DC48" w:rsidR="00E475AC" w:rsidRPr="008B775A" w:rsidRDefault="00E475AC" w:rsidP="00034AB3">
      <w:pPr>
        <w:pStyle w:val="ListParagraph"/>
        <w:spacing w:line="23" w:lineRule="atLeast"/>
        <w:ind w:left="1077" w:firstLine="720"/>
        <w:jc w:val="both"/>
        <w:rPr>
          <w:rFonts w:ascii="Times New Roman" w:hAnsi="Times New Roman"/>
          <w:kern w:val="0"/>
          <w:sz w:val="24"/>
          <w:szCs w:val="24"/>
        </w:rPr>
      </w:pPr>
      <w:r w:rsidRPr="008B775A">
        <w:rPr>
          <w:rFonts w:ascii="Times New Roman" w:hAnsi="Times New Roman"/>
          <w:kern w:val="0"/>
          <w:sz w:val="24"/>
          <w:szCs w:val="24"/>
        </w:rPr>
        <w:t xml:space="preserve">In the context of a credit agreement, when a debtor experiences late payments, this can be considered a default in accordance with the provisions regulated in the Civil Code. Considering these conditions, creditors generally send debt collectors if the debtor is proven to have defaulted or not fulfilled his obligations in paying </w:t>
      </w:r>
      <w:proofErr w:type="spellStart"/>
      <w:r w:rsidRPr="008B775A">
        <w:rPr>
          <w:rFonts w:ascii="Times New Roman" w:hAnsi="Times New Roman"/>
          <w:kern w:val="0"/>
          <w:sz w:val="24"/>
          <w:szCs w:val="24"/>
        </w:rPr>
        <w:t>installments</w:t>
      </w:r>
      <w:proofErr w:type="spellEnd"/>
      <w:r w:rsidRPr="008B775A">
        <w:rPr>
          <w:rFonts w:ascii="Times New Roman" w:hAnsi="Times New Roman"/>
          <w:kern w:val="0"/>
          <w:sz w:val="24"/>
          <w:szCs w:val="24"/>
        </w:rPr>
        <w:t xml:space="preserve">. </w:t>
      </w:r>
      <w:proofErr w:type="gramStart"/>
      <w:r w:rsidRPr="008B775A">
        <w:rPr>
          <w:rFonts w:ascii="Times New Roman" w:hAnsi="Times New Roman"/>
          <w:kern w:val="0"/>
          <w:sz w:val="24"/>
          <w:szCs w:val="24"/>
        </w:rPr>
        <w:t>As a consequence of</w:t>
      </w:r>
      <w:proofErr w:type="gramEnd"/>
      <w:r w:rsidRPr="008B775A">
        <w:rPr>
          <w:rFonts w:ascii="Times New Roman" w:hAnsi="Times New Roman"/>
          <w:kern w:val="0"/>
          <w:sz w:val="24"/>
          <w:szCs w:val="24"/>
        </w:rPr>
        <w:t xml:space="preserve"> this default, based on legal reasons, the creditor has the right to withdraw the goods used as collateral by the debtor</w:t>
      </w:r>
      <w:r w:rsidR="00076AA1" w:rsidRPr="00552667">
        <w:rPr>
          <w:rStyle w:val="FootnoteReference"/>
        </w:rPr>
        <w:footnoteReference w:id="20"/>
      </w:r>
      <w:r w:rsidRPr="008B775A">
        <w:rPr>
          <w:rFonts w:ascii="Times New Roman" w:hAnsi="Times New Roman"/>
          <w:kern w:val="0"/>
          <w:sz w:val="24"/>
          <w:szCs w:val="24"/>
        </w:rPr>
        <w:t>.</w:t>
      </w:r>
    </w:p>
    <w:p w14:paraId="574478CB" w14:textId="71A0FB0E" w:rsidR="00E475AC" w:rsidRDefault="00E475AC" w:rsidP="00034AB3">
      <w:pPr>
        <w:pStyle w:val="ListParagraph"/>
        <w:spacing w:line="23" w:lineRule="atLeast"/>
        <w:ind w:left="1077" w:firstLine="720"/>
        <w:jc w:val="both"/>
        <w:rPr>
          <w:rFonts w:ascii="Times New Roman" w:hAnsi="Times New Roman"/>
          <w:kern w:val="0"/>
          <w:sz w:val="24"/>
          <w:szCs w:val="24"/>
        </w:rPr>
      </w:pPr>
      <w:r w:rsidRPr="008B775A">
        <w:rPr>
          <w:rFonts w:ascii="Times New Roman" w:hAnsi="Times New Roman"/>
          <w:kern w:val="0"/>
          <w:sz w:val="24"/>
          <w:szCs w:val="24"/>
        </w:rPr>
        <w:t xml:space="preserve">The process of withdrawing collateral must go through a court decision, and if the creditor continues to withdraw the goods without court </w:t>
      </w:r>
      <w:r w:rsidRPr="008B775A">
        <w:rPr>
          <w:rFonts w:ascii="Times New Roman" w:hAnsi="Times New Roman"/>
          <w:kern w:val="0"/>
          <w:sz w:val="24"/>
          <w:szCs w:val="24"/>
        </w:rPr>
        <w:lastRenderedPageBreak/>
        <w:t xml:space="preserve">approval, this is considered a violation of the law which has the potential to become a criminal offense. Creditors are not allowed to arbitrarily and use force to tow the debtor's vehicle, especially if the plaintiff is late in paying </w:t>
      </w:r>
      <w:proofErr w:type="spellStart"/>
      <w:r w:rsidRPr="008B775A">
        <w:rPr>
          <w:rFonts w:ascii="Times New Roman" w:hAnsi="Times New Roman"/>
          <w:kern w:val="0"/>
          <w:sz w:val="24"/>
          <w:szCs w:val="24"/>
        </w:rPr>
        <w:t>installments</w:t>
      </w:r>
      <w:proofErr w:type="spellEnd"/>
      <w:r w:rsidRPr="008B775A">
        <w:rPr>
          <w:rFonts w:ascii="Times New Roman" w:hAnsi="Times New Roman"/>
          <w:kern w:val="0"/>
          <w:sz w:val="24"/>
          <w:szCs w:val="24"/>
        </w:rPr>
        <w:t xml:space="preserve"> without a summons or prior notification. This approach is strengthened by National Police Chief Regulation Number 8 of 2011 which regulates securing the execution of fiduciary guarantees. Alternatively, rather than resolving cases with harsh measures, it is advisable to achieve peace through negotiations.</w:t>
      </w:r>
      <w:r w:rsidR="00EF682B">
        <w:rPr>
          <w:rFonts w:ascii="Times New Roman" w:hAnsi="Times New Roman"/>
          <w:kern w:val="0"/>
          <w:sz w:val="24"/>
          <w:szCs w:val="24"/>
        </w:rPr>
        <w:t xml:space="preserve"> </w:t>
      </w:r>
      <w:r w:rsidR="00EF682B" w:rsidRPr="00EF682B">
        <w:rPr>
          <w:rFonts w:ascii="Times New Roman" w:hAnsi="Times New Roman"/>
          <w:kern w:val="0"/>
          <w:sz w:val="24"/>
          <w:szCs w:val="24"/>
        </w:rPr>
        <w:t>The fiduciary guarantee execution process in accordance with Law No. 42/1999 and National Police Chief Regulation No. 8/2011 is presented in the following figure:</w:t>
      </w:r>
    </w:p>
    <w:p w14:paraId="76EDAA8C" w14:textId="7A672CC2" w:rsidR="00EF682B" w:rsidRDefault="00EC3796" w:rsidP="00EF682B">
      <w:pPr>
        <w:pStyle w:val="ListParagraph"/>
        <w:spacing w:line="23" w:lineRule="atLeast"/>
        <w:ind w:left="284" w:firstLine="720"/>
        <w:jc w:val="both"/>
        <w:rPr>
          <w:rFonts w:ascii="Times New Roman" w:hAnsi="Times New Roman"/>
          <w:kern w:val="0"/>
          <w:sz w:val="24"/>
          <w:szCs w:val="24"/>
        </w:rPr>
      </w:pPr>
      <w:r>
        <w:rPr>
          <w:rFonts w:ascii="Times New Roman" w:hAnsi="Times New Roman"/>
          <w:noProof/>
          <w:kern w:val="0"/>
          <w:sz w:val="24"/>
          <w:szCs w:val="24"/>
        </w:rPr>
        <w:drawing>
          <wp:inline distT="0" distB="0" distL="0" distR="0" wp14:anchorId="632D0EC1" wp14:editId="3F2A7208">
            <wp:extent cx="5400040" cy="2872740"/>
            <wp:effectExtent l="0" t="0" r="0" b="3810"/>
            <wp:docPr id="183638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83469" name="Picture 1836383469"/>
                    <pic:cNvPicPr/>
                  </pic:nvPicPr>
                  <pic:blipFill>
                    <a:blip r:embed="rId8">
                      <a:biLevel thresh="50000"/>
                      <a:extLst>
                        <a:ext uri="{BEBA8EAE-BF5A-486C-A8C5-ECC9F3942E4B}">
                          <a14:imgProps xmlns:a14="http://schemas.microsoft.com/office/drawing/2010/main">
                            <a14:imgLayer r:embed="rId9">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5400040" cy="2872740"/>
                    </a:xfrm>
                    <a:prstGeom prst="rect">
                      <a:avLst/>
                    </a:prstGeom>
                  </pic:spPr>
                </pic:pic>
              </a:graphicData>
            </a:graphic>
          </wp:inline>
        </w:drawing>
      </w:r>
    </w:p>
    <w:p w14:paraId="3B0DCCF1" w14:textId="6A2D4ED1" w:rsidR="004C6558" w:rsidRDefault="00EF682B" w:rsidP="00327F70">
      <w:pPr>
        <w:pStyle w:val="ListParagraph"/>
        <w:spacing w:line="23" w:lineRule="atLeast"/>
        <w:ind w:left="1134"/>
        <w:jc w:val="both"/>
        <w:rPr>
          <w:rFonts w:ascii="Times New Roman" w:hAnsi="Times New Roman"/>
          <w:kern w:val="0"/>
          <w:sz w:val="24"/>
          <w:szCs w:val="24"/>
        </w:rPr>
      </w:pPr>
      <w:r w:rsidRPr="00EF682B">
        <w:rPr>
          <w:rFonts w:ascii="Times New Roman" w:hAnsi="Times New Roman"/>
          <w:b/>
          <w:bCs/>
          <w:kern w:val="0"/>
          <w:sz w:val="24"/>
          <w:szCs w:val="24"/>
        </w:rPr>
        <w:t>Figure 1.</w:t>
      </w:r>
      <w:r w:rsidRPr="00EF682B">
        <w:rPr>
          <w:rFonts w:ascii="Times New Roman" w:hAnsi="Times New Roman"/>
          <w:kern w:val="0"/>
          <w:sz w:val="24"/>
          <w:szCs w:val="24"/>
        </w:rPr>
        <w:t xml:space="preserve"> the flow of execution of fiduciary guarantees in accordance with law number 42 of 1999 and police regulation number 8 of 2011</w:t>
      </w:r>
    </w:p>
    <w:p w14:paraId="0BEB006E" w14:textId="77777777" w:rsidR="00327F70" w:rsidRPr="00327F70" w:rsidRDefault="00327F70" w:rsidP="00327F70">
      <w:pPr>
        <w:pStyle w:val="ListParagraph"/>
        <w:spacing w:line="23" w:lineRule="atLeast"/>
        <w:ind w:left="1134"/>
        <w:jc w:val="both"/>
        <w:rPr>
          <w:rFonts w:ascii="Times New Roman" w:hAnsi="Times New Roman"/>
          <w:kern w:val="0"/>
          <w:sz w:val="24"/>
          <w:szCs w:val="24"/>
        </w:rPr>
      </w:pPr>
    </w:p>
    <w:p w14:paraId="3A019FD6" w14:textId="68D0D18F" w:rsidR="000B2726" w:rsidRPr="004947AC" w:rsidRDefault="004C6558" w:rsidP="004C6558">
      <w:pPr>
        <w:pStyle w:val="ListParagraph"/>
        <w:spacing w:line="23" w:lineRule="atLeast"/>
        <w:ind w:left="1077" w:firstLine="720"/>
        <w:jc w:val="both"/>
        <w:rPr>
          <w:rFonts w:ascii="Times New Roman" w:hAnsi="Times New Roman"/>
          <w:sz w:val="24"/>
          <w:szCs w:val="24"/>
        </w:rPr>
      </w:pPr>
      <w:r w:rsidRPr="004C6558">
        <w:rPr>
          <w:rFonts w:ascii="Times New Roman" w:hAnsi="Times New Roman"/>
          <w:sz w:val="24"/>
          <w:szCs w:val="24"/>
        </w:rPr>
        <w:t>If a finance company neglects to register the fiduciary collateral object with the Fiduciary Office, the act of forced repossession becomes void, as the substantive rights derived from the fiduciary agreement remain undefined</w:t>
      </w:r>
      <w:r w:rsidR="00932422">
        <w:rPr>
          <w:rStyle w:val="FootnoteReference"/>
          <w:rFonts w:ascii="Times New Roman" w:hAnsi="Times New Roman"/>
          <w:sz w:val="24"/>
          <w:szCs w:val="24"/>
        </w:rPr>
        <w:footnoteReference w:id="21"/>
      </w:r>
      <w:r w:rsidRPr="004C6558">
        <w:rPr>
          <w:rFonts w:ascii="Times New Roman" w:hAnsi="Times New Roman"/>
          <w:sz w:val="24"/>
          <w:szCs w:val="24"/>
        </w:rPr>
        <w:t xml:space="preserve">. Consequently, finance companies, in their capacity as creditors, are unable to invoke Article 29 of Law Number 42 of 1999 concerning Fiduciary Guarantees. Conversely, proper registration of the fiduciary-guaranteed object necessitates police involvement, as stipulated by National Police Chief </w:t>
      </w:r>
      <w:r w:rsidRPr="004C6558">
        <w:rPr>
          <w:rFonts w:ascii="Times New Roman" w:hAnsi="Times New Roman"/>
          <w:sz w:val="24"/>
          <w:szCs w:val="24"/>
        </w:rPr>
        <w:lastRenderedPageBreak/>
        <w:t>Regulation Number 8 of 2011. This ensures a secure, organized, smooth, and accountable execution process</w:t>
      </w:r>
      <w:r w:rsidR="002A5B18" w:rsidRPr="004947AC">
        <w:rPr>
          <w:rFonts w:ascii="Times New Roman" w:hAnsi="Times New Roman"/>
          <w:sz w:val="24"/>
          <w:szCs w:val="24"/>
        </w:rPr>
        <w:t>.</w:t>
      </w:r>
      <w:r w:rsidR="00970A41" w:rsidRPr="00552667">
        <w:rPr>
          <w:rStyle w:val="FootnoteReference"/>
        </w:rPr>
        <w:footnoteReference w:id="22"/>
      </w:r>
    </w:p>
    <w:p w14:paraId="3CC264EB" w14:textId="3A7A4E6D" w:rsidR="00106FC1" w:rsidRPr="00A00615" w:rsidRDefault="00106FC1" w:rsidP="00034AB3">
      <w:pPr>
        <w:pStyle w:val="ListParagraph"/>
        <w:spacing w:line="23" w:lineRule="atLeast"/>
        <w:ind w:left="1077" w:firstLine="720"/>
        <w:jc w:val="both"/>
        <w:rPr>
          <w:rFonts w:ascii="Times New Roman" w:hAnsi="Times New Roman"/>
          <w:sz w:val="24"/>
          <w:szCs w:val="24"/>
        </w:rPr>
      </w:pPr>
      <w:r w:rsidRPr="00A00615">
        <w:rPr>
          <w:rFonts w:ascii="Times New Roman" w:hAnsi="Times New Roman"/>
          <w:sz w:val="24"/>
          <w:szCs w:val="24"/>
        </w:rPr>
        <w:t>In addition to going to court, creditors can apply to curators to lift either a reprieve or change the terms of a saving on the creditor's right. Creditors had to utilize curators to increase the ceasefire. If the curator declined the request, creditors or a third party might apply with the acting judge. Next, one day after the request to the curator to lift the deferral or change the terms of the suspension was received, the presiding judge at the lowest level was required to order the curator to immediately call, by written letter or by Courier, a creditor or third party to be heard at the hearing on the curator's appeal. The overseer's judge was then obligated to designate an application for the most time within ten days of receiving the request.</w:t>
      </w:r>
    </w:p>
    <w:p w14:paraId="1601DB2F" w14:textId="57785E41" w:rsidR="00824559" w:rsidRPr="00A00615" w:rsidRDefault="00824559" w:rsidP="00034AB3">
      <w:pPr>
        <w:pStyle w:val="ListParagraph"/>
        <w:spacing w:line="23" w:lineRule="atLeast"/>
        <w:ind w:left="1077" w:firstLine="720"/>
        <w:jc w:val="both"/>
        <w:rPr>
          <w:rFonts w:ascii="Times New Roman" w:hAnsi="Times New Roman"/>
          <w:sz w:val="24"/>
          <w:szCs w:val="24"/>
        </w:rPr>
      </w:pPr>
      <w:r w:rsidRPr="00A00615">
        <w:rPr>
          <w:rFonts w:ascii="Times New Roman" w:hAnsi="Times New Roman"/>
          <w:sz w:val="24"/>
          <w:szCs w:val="24"/>
        </w:rPr>
        <w:t xml:space="preserve">When an appeal to the curator is granted to lift a reprieve or change the terms of the suspension, creditors may apply to the police for security reasons to retrieve the item to be used as an object of fiduciary assurance following the previously mentioned 2011 regulations of the state police chief Indonesian Republic number eight on the security of fiduciary execution. Creditors could also apply for execution to the commercial court after the presiding judge's appointment of a prison term. But in this case, the appeal is denied by the supervisor judge, the creditor can apply to the court for a minimum of five days after the judge's ruling, and the compulsory court renders the resistance within ten days after it has been accepted. No judicial effort can be made to the court's ruling, including any </w:t>
      </w:r>
      <w:proofErr w:type="gramStart"/>
      <w:r w:rsidRPr="00A00615">
        <w:rPr>
          <w:rFonts w:ascii="Times New Roman" w:hAnsi="Times New Roman"/>
          <w:sz w:val="24"/>
          <w:szCs w:val="24"/>
        </w:rPr>
        <w:t>courtesies</w:t>
      </w:r>
      <w:proofErr w:type="gramEnd"/>
      <w:r w:rsidRPr="00A00615">
        <w:rPr>
          <w:rFonts w:ascii="Times New Roman" w:hAnsi="Times New Roman"/>
          <w:sz w:val="24"/>
          <w:szCs w:val="24"/>
        </w:rPr>
        <w:t xml:space="preserve"> or reviewing</w:t>
      </w:r>
      <w:r w:rsidR="004C525F" w:rsidRPr="00552667">
        <w:rPr>
          <w:rStyle w:val="FootnoteReference"/>
        </w:rPr>
        <w:footnoteReference w:id="23"/>
      </w:r>
      <w:r w:rsidRPr="00A00615">
        <w:rPr>
          <w:rFonts w:ascii="Times New Roman" w:hAnsi="Times New Roman"/>
          <w:sz w:val="24"/>
          <w:szCs w:val="24"/>
        </w:rPr>
        <w:t>.</w:t>
      </w:r>
    </w:p>
    <w:p w14:paraId="7F27917A" w14:textId="49745735" w:rsidR="008F19B9" w:rsidRPr="008B775A" w:rsidRDefault="008F19B9" w:rsidP="00034AB3">
      <w:pPr>
        <w:pStyle w:val="ListParagraph"/>
        <w:spacing w:line="23" w:lineRule="atLeast"/>
        <w:ind w:left="1077" w:firstLine="720"/>
        <w:jc w:val="both"/>
        <w:rPr>
          <w:rFonts w:ascii="Times New Roman" w:hAnsi="Times New Roman"/>
          <w:sz w:val="24"/>
          <w:szCs w:val="24"/>
        </w:rPr>
      </w:pPr>
      <w:r w:rsidRPr="00A00615">
        <w:rPr>
          <w:rFonts w:ascii="Times New Roman" w:hAnsi="Times New Roman"/>
          <w:sz w:val="24"/>
          <w:szCs w:val="24"/>
        </w:rPr>
        <w:t xml:space="preserve">When practical and effective execution efforts were effective and successful in selling fiduciary items, creditors were required to account for the curator concerning the sale of those that became collateral and leave the remainder of the proceeds after deducting the amount of interest, debt, and cost to the curator. When practical and effective execution efforts were effective and successful in selling fiduciary items, creditors were required to account for the curator concerning the sale of those that became collateral and leave the remainder of the proceeds after deducting the amount of interest, debt, and cost to the curator. If the demands of the curator or the privileged creditor were higher than that of the fiduciary creditor, then the creditor holder was obliged to hand over a portion of the proceeds to the same amount as the amount granted. If the proceeds from the sale of the property are inadequate </w:t>
      </w:r>
      <w:r w:rsidRPr="00A00615">
        <w:rPr>
          <w:rFonts w:ascii="Times New Roman" w:hAnsi="Times New Roman"/>
          <w:sz w:val="24"/>
          <w:szCs w:val="24"/>
        </w:rPr>
        <w:lastRenderedPageBreak/>
        <w:t>for the payment of the dividends, then the creditor for the loan could be issued for the liquidity of the loan after the loan application was made</w:t>
      </w:r>
      <w:r w:rsidR="00FE7779" w:rsidRPr="00552667">
        <w:rPr>
          <w:rStyle w:val="FootnoteReference"/>
        </w:rPr>
        <w:footnoteReference w:id="24"/>
      </w:r>
      <w:r w:rsidRPr="00A00615">
        <w:rPr>
          <w:rFonts w:ascii="Times New Roman" w:hAnsi="Times New Roman"/>
          <w:sz w:val="24"/>
          <w:szCs w:val="24"/>
        </w:rPr>
        <w:t>.</w:t>
      </w:r>
    </w:p>
    <w:p w14:paraId="74FA0556" w14:textId="2A2FC94A" w:rsidR="00475177" w:rsidRPr="008B775A" w:rsidRDefault="00475177" w:rsidP="00034AB3">
      <w:pPr>
        <w:pStyle w:val="ListParagraph"/>
        <w:spacing w:line="23" w:lineRule="atLeast"/>
        <w:ind w:left="1077" w:firstLine="720"/>
        <w:jc w:val="both"/>
        <w:rPr>
          <w:rFonts w:ascii="Times New Roman" w:hAnsi="Times New Roman"/>
          <w:sz w:val="24"/>
          <w:szCs w:val="24"/>
        </w:rPr>
      </w:pPr>
      <w:r w:rsidRPr="008B775A">
        <w:rPr>
          <w:rFonts w:ascii="Times New Roman" w:hAnsi="Times New Roman"/>
          <w:sz w:val="24"/>
          <w:szCs w:val="24"/>
        </w:rPr>
        <w:t>Creditors' forced removal of objects from fiduciary collateral may be considered a criminal act if it includes elements of violence or compulsion. This assertion is consistent with the decision of the Constitutional Court, which holds that Article 15, paragraphs 2 and 3, of Fiduciary Guarantee Law Number 42 of 1999 lack legally binding force when the debtor refuses to surrender the fiduciary-guaranteed object and the breach of contract is determined unilaterally by the creditor</w:t>
      </w:r>
      <w:r w:rsidR="003D5650">
        <w:rPr>
          <w:rStyle w:val="FootnoteReference"/>
          <w:rFonts w:ascii="Times New Roman" w:hAnsi="Times New Roman"/>
          <w:sz w:val="24"/>
          <w:szCs w:val="24"/>
        </w:rPr>
        <w:footnoteReference w:id="25"/>
      </w:r>
      <w:r w:rsidRPr="008B775A">
        <w:rPr>
          <w:rFonts w:ascii="Times New Roman" w:hAnsi="Times New Roman"/>
          <w:sz w:val="24"/>
          <w:szCs w:val="24"/>
        </w:rPr>
        <w:t>.</w:t>
      </w:r>
    </w:p>
    <w:p w14:paraId="2A625A19" w14:textId="7D6DDD89" w:rsidR="00FE487C" w:rsidRPr="008B775A" w:rsidRDefault="00FE487C" w:rsidP="00C63B89">
      <w:pPr>
        <w:pStyle w:val="ListParagraph"/>
        <w:numPr>
          <w:ilvl w:val="0"/>
          <w:numId w:val="1"/>
        </w:numPr>
        <w:spacing w:line="23" w:lineRule="atLeast"/>
        <w:jc w:val="both"/>
        <w:rPr>
          <w:rFonts w:ascii="Times New Roman" w:hAnsi="Times New Roman"/>
          <w:sz w:val="24"/>
          <w:szCs w:val="24"/>
          <w:lang w:val="de-DE"/>
        </w:rPr>
      </w:pPr>
      <w:r w:rsidRPr="008B775A">
        <w:rPr>
          <w:rFonts w:ascii="Times New Roman" w:hAnsi="Times New Roman"/>
          <w:sz w:val="24"/>
          <w:szCs w:val="24"/>
        </w:rPr>
        <w:br w:type="page"/>
      </w:r>
      <w:r w:rsidRPr="008B775A">
        <w:rPr>
          <w:rFonts w:ascii="Times New Roman" w:hAnsi="Times New Roman"/>
          <w:sz w:val="24"/>
          <w:szCs w:val="24"/>
          <w:lang w:val="de-DE"/>
        </w:rPr>
        <w:lastRenderedPageBreak/>
        <w:t>Conclusion</w:t>
      </w:r>
    </w:p>
    <w:p w14:paraId="1A274514" w14:textId="77777777" w:rsidR="00FE487C" w:rsidRPr="008B775A" w:rsidRDefault="00FE487C" w:rsidP="00034AB3">
      <w:pPr>
        <w:pStyle w:val="ListParagraph"/>
        <w:spacing w:line="23" w:lineRule="atLeast"/>
        <w:ind w:left="1080"/>
        <w:jc w:val="both"/>
        <w:rPr>
          <w:rFonts w:ascii="Times New Roman" w:hAnsi="Times New Roman"/>
          <w:sz w:val="24"/>
          <w:szCs w:val="24"/>
        </w:rPr>
      </w:pPr>
      <w:r w:rsidRPr="008B775A">
        <w:rPr>
          <w:rFonts w:ascii="Times New Roman" w:hAnsi="Times New Roman"/>
          <w:sz w:val="24"/>
          <w:szCs w:val="24"/>
        </w:rPr>
        <w:t>From the discussion above, several conclusions can be drawn:</w:t>
      </w:r>
    </w:p>
    <w:p w14:paraId="6F91DB7E" w14:textId="77777777" w:rsidR="00FE487C" w:rsidRPr="008B775A" w:rsidRDefault="00FE487C" w:rsidP="00034AB3">
      <w:pPr>
        <w:pStyle w:val="ListParagraph"/>
        <w:spacing w:line="23" w:lineRule="atLeast"/>
        <w:ind w:left="1080"/>
        <w:jc w:val="both"/>
        <w:rPr>
          <w:rFonts w:ascii="Times New Roman" w:hAnsi="Times New Roman"/>
          <w:sz w:val="24"/>
          <w:szCs w:val="24"/>
        </w:rPr>
      </w:pPr>
    </w:p>
    <w:p w14:paraId="499E58B3" w14:textId="66190BD5" w:rsidR="003518CE" w:rsidRDefault="00FE487C" w:rsidP="00034AB3">
      <w:pPr>
        <w:pStyle w:val="ListParagraph"/>
        <w:spacing w:line="23" w:lineRule="atLeast"/>
        <w:ind w:left="1080"/>
        <w:jc w:val="both"/>
        <w:rPr>
          <w:rFonts w:ascii="Times New Roman" w:hAnsi="Times New Roman"/>
          <w:sz w:val="24"/>
          <w:szCs w:val="24"/>
        </w:rPr>
      </w:pPr>
      <w:r w:rsidRPr="008B775A">
        <w:rPr>
          <w:rFonts w:ascii="Times New Roman" w:hAnsi="Times New Roman"/>
          <w:sz w:val="24"/>
          <w:szCs w:val="24"/>
        </w:rPr>
        <w:t xml:space="preserve">Fiduciary execution: The forced withdrawal of Fiduciary Security Objects following the Constitutional Court (MK) Decision Number 18/PUU-XVII/2019 and Number 2/PUU-XIX/2021 must be carried out through the courts and may no longer be done unilaterally. Several cases in society, such as the decisions of the </w:t>
      </w:r>
      <w:proofErr w:type="spellStart"/>
      <w:r w:rsidRPr="008B775A">
        <w:rPr>
          <w:rFonts w:ascii="Times New Roman" w:hAnsi="Times New Roman"/>
          <w:sz w:val="24"/>
          <w:szCs w:val="24"/>
        </w:rPr>
        <w:t>Bitung</w:t>
      </w:r>
      <w:proofErr w:type="spellEnd"/>
      <w:r w:rsidRPr="008B775A">
        <w:rPr>
          <w:rFonts w:ascii="Times New Roman" w:hAnsi="Times New Roman"/>
          <w:sz w:val="24"/>
          <w:szCs w:val="24"/>
        </w:rPr>
        <w:t xml:space="preserve"> District Court and the Batam District Court, show violations of legal procedures in the forced withdrawal of fiduciary collateral objects. There needs to be stricter law enforcement against forced withdrawal practices that do not comply with regulations. Regarding Creditor Responsibility after the Constitutional Court Decision, the creditor's position becomes weaker because the determination of breach of contract becomes dependent on the acknowledgment of the debtor, no longer on Law no. 42 of 1999. Creditors must understand that withdrawal of collateral must be done through a court decision, and arbitrary actions can be considered a violation of the law. The importance of negotiation and peace as an alternative before involving forced withdrawal, in accordance with National Police Chief Regulation Number 8 of 2011.</w:t>
      </w:r>
    </w:p>
    <w:p w14:paraId="7FA9789C" w14:textId="77777777" w:rsidR="00EF682B" w:rsidRDefault="00EF682B" w:rsidP="00034AB3">
      <w:pPr>
        <w:pStyle w:val="ListParagraph"/>
        <w:spacing w:line="23" w:lineRule="atLeast"/>
        <w:ind w:left="1080"/>
        <w:jc w:val="both"/>
        <w:rPr>
          <w:rFonts w:ascii="Times New Roman" w:hAnsi="Times New Roman"/>
          <w:sz w:val="24"/>
          <w:szCs w:val="24"/>
        </w:rPr>
      </w:pPr>
    </w:p>
    <w:p w14:paraId="15870DCB" w14:textId="77777777" w:rsidR="00C53F2B" w:rsidRDefault="00EF682B" w:rsidP="00C53F2B">
      <w:pPr>
        <w:pStyle w:val="ListParagraph"/>
        <w:spacing w:line="23" w:lineRule="atLeast"/>
        <w:ind w:left="1080"/>
        <w:jc w:val="both"/>
        <w:rPr>
          <w:rFonts w:ascii="Times New Roman" w:hAnsi="Times New Roman"/>
          <w:b/>
          <w:bCs/>
          <w:sz w:val="24"/>
          <w:szCs w:val="24"/>
        </w:rPr>
      </w:pPr>
      <w:r w:rsidRPr="00EF682B">
        <w:rPr>
          <w:rFonts w:ascii="Times New Roman" w:hAnsi="Times New Roman"/>
          <w:b/>
          <w:bCs/>
          <w:sz w:val="24"/>
          <w:szCs w:val="24"/>
        </w:rPr>
        <w:t>Bibliography</w:t>
      </w:r>
    </w:p>
    <w:p w14:paraId="01F92725" w14:textId="77777777" w:rsidR="00552667" w:rsidRDefault="00552667" w:rsidP="00C53F2B">
      <w:pPr>
        <w:pStyle w:val="ListParagraph"/>
        <w:spacing w:line="23" w:lineRule="atLeast"/>
        <w:ind w:left="1080"/>
        <w:jc w:val="both"/>
        <w:rPr>
          <w:rFonts w:ascii="Times New Roman" w:hAnsi="Times New Roman"/>
          <w:sz w:val="24"/>
          <w:szCs w:val="24"/>
        </w:rPr>
      </w:pPr>
    </w:p>
    <w:p w14:paraId="2CC1F3F5" w14:textId="77777777" w:rsidR="007E5D88" w:rsidRPr="007E5D88" w:rsidRDefault="005A6801" w:rsidP="007E5D88">
      <w:pPr>
        <w:pStyle w:val="Bibliography"/>
        <w:rPr>
          <w:rFonts w:ascii="Times New Roman" w:hAnsi="Times New Roman"/>
          <w:sz w:val="24"/>
        </w:rPr>
      </w:pPr>
      <w:r>
        <w:fldChar w:fldCharType="begin"/>
      </w:r>
      <w:r w:rsidR="003D3269" w:rsidRPr="003D2D44">
        <w:instrText xml:space="preserve"> ADDIN ZOTERO_BIBL {"uncited":[],"omitted":[],"custom":[]} CSL_BIBLIOGRAPHY </w:instrText>
      </w:r>
      <w:r>
        <w:fldChar w:fldCharType="separate"/>
      </w:r>
      <w:r w:rsidR="007E5D88" w:rsidRPr="003D2D44">
        <w:rPr>
          <w:rFonts w:ascii="Times New Roman" w:hAnsi="Times New Roman"/>
          <w:sz w:val="24"/>
        </w:rPr>
        <w:t>Arafat, Yassir. “</w:t>
      </w:r>
      <w:proofErr w:type="spellStart"/>
      <w:r w:rsidR="007E5D88" w:rsidRPr="003D2D44">
        <w:rPr>
          <w:rFonts w:ascii="Times New Roman" w:hAnsi="Times New Roman"/>
          <w:sz w:val="24"/>
        </w:rPr>
        <w:t>Prinsip-Prinsip</w:t>
      </w:r>
      <w:proofErr w:type="spellEnd"/>
      <w:r w:rsidR="007E5D88" w:rsidRPr="003D2D44">
        <w:rPr>
          <w:rFonts w:ascii="Times New Roman" w:hAnsi="Times New Roman"/>
          <w:sz w:val="24"/>
        </w:rPr>
        <w:t xml:space="preserve"> </w:t>
      </w:r>
      <w:proofErr w:type="spellStart"/>
      <w:r w:rsidR="007E5D88" w:rsidRPr="003D2D44">
        <w:rPr>
          <w:rFonts w:ascii="Times New Roman" w:hAnsi="Times New Roman"/>
          <w:sz w:val="24"/>
        </w:rPr>
        <w:t>Perlindungan</w:t>
      </w:r>
      <w:proofErr w:type="spellEnd"/>
      <w:r w:rsidR="007E5D88" w:rsidRPr="003D2D44">
        <w:rPr>
          <w:rFonts w:ascii="Times New Roman" w:hAnsi="Times New Roman"/>
          <w:sz w:val="24"/>
        </w:rPr>
        <w:t xml:space="preserve"> Hukum Yang </w:t>
      </w:r>
      <w:proofErr w:type="spellStart"/>
      <w:r w:rsidR="007E5D88" w:rsidRPr="003D2D44">
        <w:rPr>
          <w:rFonts w:ascii="Times New Roman" w:hAnsi="Times New Roman"/>
          <w:sz w:val="24"/>
        </w:rPr>
        <w:t>Seimbang</w:t>
      </w:r>
      <w:proofErr w:type="spellEnd"/>
      <w:r w:rsidR="007E5D88" w:rsidRPr="003D2D44">
        <w:rPr>
          <w:rFonts w:ascii="Times New Roman" w:hAnsi="Times New Roman"/>
          <w:sz w:val="24"/>
        </w:rPr>
        <w:t xml:space="preserve"> Dalam </w:t>
      </w:r>
      <w:proofErr w:type="spellStart"/>
      <w:r w:rsidR="007E5D88" w:rsidRPr="003D2D44">
        <w:rPr>
          <w:rFonts w:ascii="Times New Roman" w:hAnsi="Times New Roman"/>
          <w:sz w:val="24"/>
        </w:rPr>
        <w:t>Kontrak</w:t>
      </w:r>
      <w:proofErr w:type="spellEnd"/>
      <w:r w:rsidR="007E5D88" w:rsidRPr="003D2D44">
        <w:rPr>
          <w:rFonts w:ascii="Times New Roman" w:hAnsi="Times New Roman"/>
          <w:sz w:val="24"/>
        </w:rPr>
        <w:t xml:space="preserve">.” </w:t>
      </w:r>
      <w:r w:rsidR="007E5D88" w:rsidRPr="007E5D88">
        <w:rPr>
          <w:rFonts w:ascii="Times New Roman" w:hAnsi="Times New Roman"/>
          <w:i/>
          <w:iCs/>
          <w:sz w:val="24"/>
        </w:rPr>
        <w:t>JURNAL RECHTENS</w:t>
      </w:r>
      <w:r w:rsidR="007E5D88" w:rsidRPr="007E5D88">
        <w:rPr>
          <w:rFonts w:ascii="Times New Roman" w:hAnsi="Times New Roman"/>
          <w:sz w:val="24"/>
        </w:rPr>
        <w:t xml:space="preserve"> 4, no. 2 (December 31, 2015): 25–39. https://doi.org/10.36835/rechtens.v4i2.117.</w:t>
      </w:r>
    </w:p>
    <w:p w14:paraId="27B8BA79"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Bouzen, Robert, and Ashibly Ashibly. “PELAKSANAAN EKSEKUSI JAMINAN FIDUSIA TERHADAP DEBITUR YANG WANPRESTASI SETELAH KELUARNYA PUTUSAN MAHKAMAH KONSTITUSI NOMOR 18/PUU-XVII/2019.” </w:t>
      </w:r>
      <w:r w:rsidRPr="007E5D88">
        <w:rPr>
          <w:rFonts w:ascii="Times New Roman" w:hAnsi="Times New Roman"/>
          <w:i/>
          <w:iCs/>
          <w:sz w:val="24"/>
        </w:rPr>
        <w:t>Jurnal Gagasan Hukum</w:t>
      </w:r>
      <w:r w:rsidRPr="007E5D88">
        <w:rPr>
          <w:rFonts w:ascii="Times New Roman" w:hAnsi="Times New Roman"/>
          <w:sz w:val="24"/>
        </w:rPr>
        <w:t xml:space="preserve"> 3, no. 02 (December 29, 2021): 137–48. https://doi.org/10.31849/jgh.v3i02.8907.</w:t>
      </w:r>
    </w:p>
    <w:p w14:paraId="74D67DD5"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Febriyanti, Wiwin Dwi Ratna. “EKSEKUSI OBJEK JAMINAN FIDUSIA PASCA PUTUSAN MAHKAMAH KONSTITUSI NOMOR 18/PUU-XVII/2019.” </w:t>
      </w:r>
      <w:r w:rsidRPr="007E5D88">
        <w:rPr>
          <w:rFonts w:ascii="Times New Roman" w:hAnsi="Times New Roman"/>
          <w:i/>
          <w:iCs/>
          <w:sz w:val="24"/>
        </w:rPr>
        <w:t>ADHAPER: Jurnal Hukum Acara Perdata</w:t>
      </w:r>
      <w:r w:rsidRPr="007E5D88">
        <w:rPr>
          <w:rFonts w:ascii="Times New Roman" w:hAnsi="Times New Roman"/>
          <w:sz w:val="24"/>
        </w:rPr>
        <w:t xml:space="preserve"> 6, no. 2 (March 8, 2021): 39. https://doi.org/10.36913/jhaper.v6i2.128.</w:t>
      </w:r>
    </w:p>
    <w:p w14:paraId="63A65853"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Fransiscus Liono, Cliff Edward. “TINJAUAN YURIDIS TERHADAP PENARIKAN BARANG JAMINAN FIDUSIA SECARA PAKSA OLEH LEASING MELALUI DEBT COLLECTOR YANG DITINJAU BERDASARKAN UNDANGUNDANG NOMOR 42 TAHUN 1999 TENTANG JAMINAN FIDUSIA” 9, no. 1 (1 Desember): 71–78.</w:t>
      </w:r>
    </w:p>
    <w:p w14:paraId="7F976368"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Hermanto, Edy, and Sigit Irianto. “PERJANJIAN PEMBIAYAAN KONSUMEN DENGAN JAMINAN FIDUSIA PADA PERUSAHAAN MULTIFINANCE.” </w:t>
      </w:r>
      <w:r w:rsidRPr="007E5D88">
        <w:rPr>
          <w:rFonts w:ascii="Times New Roman" w:hAnsi="Times New Roman"/>
          <w:i/>
          <w:iCs/>
          <w:sz w:val="24"/>
        </w:rPr>
        <w:t>Notary Law Research</w:t>
      </w:r>
      <w:r w:rsidRPr="007E5D88">
        <w:rPr>
          <w:rFonts w:ascii="Times New Roman" w:hAnsi="Times New Roman"/>
          <w:sz w:val="24"/>
        </w:rPr>
        <w:t xml:space="preserve"> 1, no. 1 (December 29, 2020): 21. https://doi.org/10.56444/nlr.v1i1.1383.</w:t>
      </w:r>
    </w:p>
    <w:p w14:paraId="6DCD8543"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lastRenderedPageBreak/>
        <w:t xml:space="preserve">Hidayat, Nur. “PENARIKAN PAKSA KENDARAAN BERMOTOR DALAM JAMINAN FIDUSIA SETELAH ADANYA PUTUSAN MAHKAMAH KONSTITUSI NOMOR 18/PUU-XVII/2019.” </w:t>
      </w:r>
      <w:r w:rsidRPr="007E5D88">
        <w:rPr>
          <w:rFonts w:ascii="Times New Roman" w:hAnsi="Times New Roman"/>
          <w:i/>
          <w:iCs/>
          <w:sz w:val="24"/>
        </w:rPr>
        <w:t>Jurnal Yustitia</w:t>
      </w:r>
      <w:r w:rsidRPr="007E5D88">
        <w:rPr>
          <w:rFonts w:ascii="Times New Roman" w:hAnsi="Times New Roman"/>
          <w:sz w:val="24"/>
        </w:rPr>
        <w:t xml:space="preserve"> 22, no. 2 (December 23, 2021). https://doi.org/10.53712/yustitia.v22i2.1337.</w:t>
      </w:r>
    </w:p>
    <w:p w14:paraId="007E5E8B"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Jadidah, Fikrotul. “PERLINDUNGAN HUKUM BAGI KREDITUR TERHADAP PELAKSANAAN EKSEKUSI JAMINAN FIDUSIA (ANALISIS PUTUSAN MAHKAMAH KONSTITUSI NO 18/PUU-XVII/2019).” </w:t>
      </w:r>
      <w:r w:rsidRPr="007E5D88">
        <w:rPr>
          <w:rFonts w:ascii="Times New Roman" w:hAnsi="Times New Roman"/>
          <w:i/>
          <w:iCs/>
          <w:sz w:val="24"/>
        </w:rPr>
        <w:t>IBLAM LAW REVIEW</w:t>
      </w:r>
      <w:r w:rsidRPr="007E5D88">
        <w:rPr>
          <w:rFonts w:ascii="Times New Roman" w:hAnsi="Times New Roman"/>
          <w:sz w:val="24"/>
        </w:rPr>
        <w:t xml:space="preserve"> 2, no. 2 (May 30, 2022): 17–37. https://doi.org/10.52249/ilr.v2i2.69.</w:t>
      </w:r>
    </w:p>
    <w:p w14:paraId="0AFDB013"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Junaedi, Budi, Merry Tjoanda, and Teng Berlianty. “Perlindungan Hukum Pada Debitur Atas Penarikan Objek Jaminan Fidusia Melalui Parate Eksekusi.” </w:t>
      </w:r>
      <w:r w:rsidRPr="007E5D88">
        <w:rPr>
          <w:rFonts w:ascii="Times New Roman" w:hAnsi="Times New Roman"/>
          <w:i/>
          <w:iCs/>
          <w:sz w:val="24"/>
        </w:rPr>
        <w:t>PATTIMURA Legal Journal</w:t>
      </w:r>
      <w:r w:rsidRPr="007E5D88">
        <w:rPr>
          <w:rFonts w:ascii="Times New Roman" w:hAnsi="Times New Roman"/>
          <w:sz w:val="24"/>
        </w:rPr>
        <w:t xml:space="preserve"> 1, no. 2 (August 18, 2022): 124–32. https://doi.org/10.47268/pela.v1i2.6433.</w:t>
      </w:r>
    </w:p>
    <w:p w14:paraId="41587782"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lang w:val="de-DE"/>
        </w:rPr>
        <w:t xml:space="preserve">Kosasih, Johannes Ibrahim, Anak Agung Istri Agung, and Anak Agung Sagung Laksmani Dewi. “Parate Eksekusi Pasca Putusan Mahkamah Kostitusi (MK) NO. 18/PUU-XVII/2019 Dan No: 02/PUU-XIX/2021 Terhadap Eksekusi Jaminan Fidusia Atas Lembaga Pembiayaan Leasin.” </w:t>
      </w:r>
      <w:r w:rsidRPr="007E5D88">
        <w:rPr>
          <w:rFonts w:ascii="Times New Roman" w:hAnsi="Times New Roman"/>
          <w:i/>
          <w:iCs/>
          <w:sz w:val="24"/>
        </w:rPr>
        <w:t>Jurnal IUS Kajian Hukum Dan Keadilan</w:t>
      </w:r>
      <w:r w:rsidRPr="007E5D88">
        <w:rPr>
          <w:rFonts w:ascii="Times New Roman" w:hAnsi="Times New Roman"/>
          <w:sz w:val="24"/>
        </w:rPr>
        <w:t xml:space="preserve"> 10, no. 1 (April 24, 2022): 114–35. https://doi.org/10.29303/ius.v10i1.971.</w:t>
      </w:r>
    </w:p>
    <w:p w14:paraId="79ED9AD1" w14:textId="77777777" w:rsidR="007E5D88" w:rsidRPr="007E5D88" w:rsidRDefault="007E5D88" w:rsidP="007E5D88">
      <w:pPr>
        <w:pStyle w:val="Bibliography"/>
        <w:rPr>
          <w:rFonts w:ascii="Times New Roman" w:hAnsi="Times New Roman"/>
          <w:sz w:val="24"/>
        </w:rPr>
      </w:pPr>
      <w:r w:rsidRPr="007E5D88">
        <w:rPr>
          <w:rFonts w:ascii="Times New Roman" w:hAnsi="Times New Roman"/>
          <w:i/>
          <w:iCs/>
          <w:sz w:val="24"/>
        </w:rPr>
        <w:t>Law No. 42/1999 on Fiduciary Guarantee</w:t>
      </w:r>
      <w:r w:rsidRPr="007E5D88">
        <w:rPr>
          <w:rFonts w:ascii="Times New Roman" w:hAnsi="Times New Roman"/>
          <w:sz w:val="24"/>
        </w:rPr>
        <w:t>, 1999.</w:t>
      </w:r>
    </w:p>
    <w:p w14:paraId="2B592B54"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lang w:val="de-DE"/>
        </w:rPr>
        <w:t xml:space="preserve">Mahkamah Konstitusi. “Putusan Mahkamah Konstitusi Nomor 18/PUU-XVII/2019.” </w:t>
      </w:r>
      <w:r w:rsidRPr="007E5D88">
        <w:rPr>
          <w:rFonts w:ascii="Times New Roman" w:hAnsi="Times New Roman"/>
          <w:sz w:val="24"/>
        </w:rPr>
        <w:t>Putusan Mahkamah Konstitusi Nomor 18/PUU-XVII/2019, Agustus     at 19.10 WIB 2023. https://www.mkri.id/index.php?page=web.Putusan&amp;id=1&amp;kat=1&amp;cari=18%2FPUU-XVII%2F2019.</w:t>
      </w:r>
    </w:p>
    <w:p w14:paraId="16E00278"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Pasaribu, Enni Martalena, Darwinsyah Minin, Marlina Marlina, and M. Citra Ramadhan. “Analisis Hukum Terhadap Benda Jaminan Fidusia Yang Digadaikan Oleh Debitur Kepada Pihak Lain.” </w:t>
      </w:r>
      <w:r w:rsidRPr="007E5D88">
        <w:rPr>
          <w:rFonts w:ascii="Times New Roman" w:hAnsi="Times New Roman"/>
          <w:i/>
          <w:iCs/>
          <w:sz w:val="24"/>
        </w:rPr>
        <w:t>ARBITER: Jurnal Ilmiah Magister Hukum</w:t>
      </w:r>
      <w:r w:rsidRPr="007E5D88">
        <w:rPr>
          <w:rFonts w:ascii="Times New Roman" w:hAnsi="Times New Roman"/>
          <w:sz w:val="24"/>
        </w:rPr>
        <w:t xml:space="preserve"> 1, no. 1 (May 2, 2019): 53–65. https://doi.org/10.31289/arbiter.v1i1.105.</w:t>
      </w:r>
    </w:p>
    <w:p w14:paraId="2ACB7DFA"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Polri. “Peraturan Kapolri Nomor 8 Tahun 2011 Tentang Pengamanan Eksekusi Jaminan Fidusia,” 2011, 1–11.</w:t>
      </w:r>
    </w:p>
    <w:p w14:paraId="5BACA521"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R. Suharto, Siti M. Badriyah, and Agnia Zahradinda. “PERLINDUNGAN HUKUM KREDITOR ATAS EKSEKUSI OBYEK JAMINAN FIDUSIA YANG DIALIHKAN KEPIHAK KETIGA (Studi Kasus Di Koperasi Simpan Pinjam Artomoro Sejahtera Semarang).” </w:t>
      </w:r>
      <w:r w:rsidRPr="007E5D88">
        <w:rPr>
          <w:rFonts w:ascii="Times New Roman" w:hAnsi="Times New Roman"/>
          <w:i/>
          <w:iCs/>
          <w:sz w:val="24"/>
        </w:rPr>
        <w:t>Diponegoro Law Journal</w:t>
      </w:r>
      <w:r w:rsidRPr="007E5D88">
        <w:rPr>
          <w:rFonts w:ascii="Times New Roman" w:hAnsi="Times New Roman"/>
          <w:sz w:val="24"/>
        </w:rPr>
        <w:t xml:space="preserve"> 8, no. 1 (2019): 22–35. https://doi.org/10.14710/dlj.2019.25326.</w:t>
      </w:r>
    </w:p>
    <w:p w14:paraId="0947BD81"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Rae, Deystia Ayesha. “Implikasi Putusan Mahkamah Konstitusi No. 18/PUU-XVII/2019 Terhadap Hak Melakukan Parate Eksekusi Oleh Pemegang Jaminan Fidusia.” </w:t>
      </w:r>
      <w:r w:rsidRPr="007E5D88">
        <w:rPr>
          <w:rFonts w:ascii="Times New Roman" w:hAnsi="Times New Roman"/>
          <w:i/>
          <w:iCs/>
          <w:sz w:val="24"/>
        </w:rPr>
        <w:t>JISIP (Jurnal Ilmu Sosial Dan Pendidikan)</w:t>
      </w:r>
      <w:r w:rsidRPr="007E5D88">
        <w:rPr>
          <w:rFonts w:ascii="Times New Roman" w:hAnsi="Times New Roman"/>
          <w:sz w:val="24"/>
        </w:rPr>
        <w:t xml:space="preserve"> 5, no. 2 (March 1, 2021). https://doi.org/10.36312/jisip.v5i2.1808.</w:t>
      </w:r>
    </w:p>
    <w:p w14:paraId="203DC187"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Ramdhani, Fahmi Ali. “PERLINDUNGAN HUKUM KONSUMEN TERHADAP PENARIKAN DAN PENYITAAN OBJEK JAMINAN FIDUCIA YANG TIDAK DIDAFTARKAN KREDITUR.” </w:t>
      </w:r>
      <w:r w:rsidRPr="007E5D88">
        <w:rPr>
          <w:rFonts w:ascii="Times New Roman" w:hAnsi="Times New Roman"/>
          <w:i/>
          <w:iCs/>
          <w:sz w:val="24"/>
        </w:rPr>
        <w:t>ADLIYA: Jurnal Hukum Dan Kemanusiaan</w:t>
      </w:r>
      <w:r w:rsidRPr="007E5D88">
        <w:rPr>
          <w:rFonts w:ascii="Times New Roman" w:hAnsi="Times New Roman"/>
          <w:sz w:val="24"/>
        </w:rPr>
        <w:t xml:space="preserve"> 15, no. 1 (March 31, 2021): 51–66. https://doi.org/10.15575/adliya.v15i1.9939.</w:t>
      </w:r>
    </w:p>
    <w:p w14:paraId="7C360C57"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lastRenderedPageBreak/>
        <w:t>Riskawati, Shanti. “RASIO DECIDENDI PUTUSAN MAHKAMAH KONSTITUSI NOMOR 18/PUU-XVII/2019 DAN PERUBAHAN KONSTRUKSI NORMA EKSEKUSI DAN WANPRESTASI DALAM SISTEM HUKUM INDONESIA” 5, no. 1 (2021): 33–48. https://doi.org/10.23920/acta.v5i1.613.</w:t>
      </w:r>
    </w:p>
    <w:p w14:paraId="40845D91"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Rufaida, Khifni Kafa. “TINJAUAN HUKUM TERHADAP EKSEKUSI OBJEK JAMINAN FIDUSIA TANPA TITEL EKSEKUTORIAL YANG SAH.” </w:t>
      </w:r>
      <w:r w:rsidRPr="007E5D88">
        <w:rPr>
          <w:rFonts w:ascii="Times New Roman" w:hAnsi="Times New Roman"/>
          <w:i/>
          <w:iCs/>
          <w:sz w:val="24"/>
        </w:rPr>
        <w:t>Refleksi Hukum: Jurnal Ilmu Hukum</w:t>
      </w:r>
      <w:r w:rsidRPr="007E5D88">
        <w:rPr>
          <w:rFonts w:ascii="Times New Roman" w:hAnsi="Times New Roman"/>
          <w:sz w:val="24"/>
        </w:rPr>
        <w:t xml:space="preserve"> 4, no. 1 (October 31, 2019): 21–40. https://doi.org/10.24246/jrh.2019.v4.i1.p21-40.</w:t>
      </w:r>
    </w:p>
    <w:p w14:paraId="3106562C"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Sanjaya, Dicky Bagus. “ANALISIS YURIDIS TERHADAP PUTUSAN MAHKAMAH KONSTITUSI 2/PUU-XIX/2021 BAGI PENERIMA JAMINAN FIDUSIA (KREDITUR),” n.d.</w:t>
      </w:r>
    </w:p>
    <w:p w14:paraId="5B24AF4C"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Sherly Mayasari, Imaculata, and Nynda Fatmawati Octarina. “Kedudukan Hukum Pidana Atas Pengambilan Kendaraan Paksa Debitur Oleh Debt Collector Lembaga Pembiayaan.” </w:t>
      </w:r>
      <w:r w:rsidRPr="007E5D88">
        <w:rPr>
          <w:rFonts w:ascii="Times New Roman" w:hAnsi="Times New Roman"/>
          <w:i/>
          <w:iCs/>
          <w:sz w:val="24"/>
        </w:rPr>
        <w:t>JURNAL RECHTENS</w:t>
      </w:r>
      <w:r w:rsidRPr="007E5D88">
        <w:rPr>
          <w:rFonts w:ascii="Times New Roman" w:hAnsi="Times New Roman"/>
          <w:sz w:val="24"/>
        </w:rPr>
        <w:t xml:space="preserve"> 9, no. 2 (December 30, 2020): 141–52. https://doi.org/10.36835/rechtens.v9i2.788.</w:t>
      </w:r>
    </w:p>
    <w:p w14:paraId="2965E43B"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Sindra, Sharen. “Kepastian Hukum Eksekusi Objek Jaminan Fidusia.” </w:t>
      </w:r>
      <w:r w:rsidRPr="007E5D88">
        <w:rPr>
          <w:rFonts w:ascii="Times New Roman" w:hAnsi="Times New Roman"/>
          <w:i/>
          <w:iCs/>
          <w:sz w:val="24"/>
        </w:rPr>
        <w:t>Binamulia Hukum</w:t>
      </w:r>
      <w:r w:rsidRPr="007E5D88">
        <w:rPr>
          <w:rFonts w:ascii="Times New Roman" w:hAnsi="Times New Roman"/>
          <w:sz w:val="24"/>
        </w:rPr>
        <w:t xml:space="preserve"> 9, no. 1 (July 17, 2020): 45–56. https://doi.org/10.37893/jbh.v9i1.101.</w:t>
      </w:r>
    </w:p>
    <w:p w14:paraId="44F17B4F"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Syam, Misnar. “PELAKSANAAN EKSEKUSI OBJEK JAMINAN FIDUSIA PASCA PUTUSAN MAHKAMAH KONSTITUSI NOMOR 18/PUU-VII/2019 PADA MASA PANDEMI COVID 19 DI KOTA PADANG.” </w:t>
      </w:r>
      <w:r w:rsidRPr="007E5D88">
        <w:rPr>
          <w:rFonts w:ascii="Times New Roman" w:hAnsi="Times New Roman"/>
          <w:i/>
          <w:iCs/>
          <w:sz w:val="24"/>
        </w:rPr>
        <w:t>UNES Journal of Swara Justisia</w:t>
      </w:r>
      <w:r w:rsidRPr="007E5D88">
        <w:rPr>
          <w:rFonts w:ascii="Times New Roman" w:hAnsi="Times New Roman"/>
          <w:sz w:val="24"/>
        </w:rPr>
        <w:t xml:space="preserve"> 7, no. 2 (July 1, 2023): 335. https://doi.org/10.31933/ujsj.v7i2.349.</w:t>
      </w:r>
    </w:p>
    <w:p w14:paraId="7F14514C"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 xml:space="preserve">Welfiandi, Fitrian. “EKSEKUSI TERHADAP OBJEK JAMINAN FIDUSIA PASCA PUTUSAN MAHKAMAH KONSTITUSI NOMOR 18/PUU-XVII/2019 DAN BENTUK PERLINDUNGAN HUKUM TERHADAP DEBITUR.” </w:t>
      </w:r>
      <w:r w:rsidRPr="007E5D88">
        <w:rPr>
          <w:rFonts w:ascii="Times New Roman" w:hAnsi="Times New Roman"/>
          <w:i/>
          <w:iCs/>
          <w:sz w:val="24"/>
        </w:rPr>
        <w:t>JISIP (Jurnal Ilmu Sosial Dan Pendidikan)</w:t>
      </w:r>
      <w:r w:rsidRPr="007E5D88">
        <w:rPr>
          <w:rFonts w:ascii="Times New Roman" w:hAnsi="Times New Roman"/>
          <w:sz w:val="24"/>
        </w:rPr>
        <w:t xml:space="preserve"> 6, no. 1 (January 4, 2022). https://doi.org/10.58258/jisip.v6i1.2742.</w:t>
      </w:r>
    </w:p>
    <w:p w14:paraId="497FDB60" w14:textId="77777777" w:rsidR="007E5D88" w:rsidRPr="007E5D88" w:rsidRDefault="007E5D88" w:rsidP="007E5D88">
      <w:pPr>
        <w:pStyle w:val="Bibliography"/>
        <w:rPr>
          <w:rFonts w:ascii="Times New Roman" w:hAnsi="Times New Roman"/>
          <w:sz w:val="24"/>
        </w:rPr>
      </w:pPr>
      <w:r w:rsidRPr="007E5D88">
        <w:rPr>
          <w:rFonts w:ascii="Times New Roman" w:hAnsi="Times New Roman"/>
          <w:sz w:val="24"/>
        </w:rPr>
        <w:t>Wulandari, Esca Sari Ayu, and Achmad Syarifuddin. “PENARIKAN SECARA PAKSA OBJEK JAMINAN FIDUSIA DALAM HUBUNGAN PERLINDUNGAN ANGSURAN KREDIT DEBITUR,” 2020.</w:t>
      </w:r>
    </w:p>
    <w:p w14:paraId="64BCCABC" w14:textId="4D46FC41" w:rsidR="00FE487C" w:rsidRPr="008B775A" w:rsidRDefault="005A6801" w:rsidP="00034AB3">
      <w:pPr>
        <w:pStyle w:val="ListParagraph"/>
        <w:spacing w:line="23" w:lineRule="atLeast"/>
        <w:ind w:left="1080"/>
        <w:jc w:val="both"/>
        <w:rPr>
          <w:rFonts w:ascii="Times New Roman" w:hAnsi="Times New Roman"/>
          <w:sz w:val="24"/>
          <w:szCs w:val="24"/>
        </w:rPr>
      </w:pPr>
      <w:r>
        <w:rPr>
          <w:rFonts w:ascii="Times New Roman" w:hAnsi="Times New Roman"/>
          <w:sz w:val="24"/>
          <w:szCs w:val="24"/>
        </w:rPr>
        <w:fldChar w:fldCharType="end"/>
      </w:r>
    </w:p>
    <w:p w14:paraId="7FEE08FF" w14:textId="6C699813" w:rsidR="00FE487C" w:rsidRPr="008B775A" w:rsidRDefault="00FE487C" w:rsidP="00034AB3">
      <w:pPr>
        <w:spacing w:line="23" w:lineRule="atLeast"/>
        <w:rPr>
          <w:rFonts w:ascii="Times New Roman" w:hAnsi="Times New Roman"/>
          <w:sz w:val="24"/>
          <w:szCs w:val="24"/>
        </w:rPr>
      </w:pPr>
    </w:p>
    <w:p w14:paraId="672EA591" w14:textId="77777777" w:rsidR="0070111B" w:rsidRPr="008B775A" w:rsidRDefault="0070111B" w:rsidP="00034AB3">
      <w:pPr>
        <w:pStyle w:val="ListParagraph"/>
        <w:spacing w:line="23" w:lineRule="atLeast"/>
        <w:ind w:left="1077" w:firstLine="720"/>
        <w:jc w:val="both"/>
        <w:rPr>
          <w:rFonts w:ascii="Times New Roman" w:hAnsi="Times New Roman"/>
          <w:sz w:val="24"/>
          <w:szCs w:val="24"/>
        </w:rPr>
      </w:pPr>
    </w:p>
    <w:p w14:paraId="7C7F51A6" w14:textId="77777777" w:rsidR="0070111B" w:rsidRPr="008B775A" w:rsidRDefault="0070111B" w:rsidP="00034AB3">
      <w:pPr>
        <w:spacing w:line="23" w:lineRule="atLeast"/>
        <w:ind w:left="720" w:firstLine="720"/>
        <w:jc w:val="both"/>
        <w:rPr>
          <w:rFonts w:ascii="Times New Roman" w:hAnsi="Times New Roman"/>
          <w:b/>
          <w:bCs/>
          <w:sz w:val="24"/>
          <w:szCs w:val="24"/>
        </w:rPr>
      </w:pPr>
    </w:p>
    <w:p w14:paraId="66BE2435" w14:textId="77777777" w:rsidR="00666BF3" w:rsidRPr="008B775A" w:rsidRDefault="00666BF3" w:rsidP="00034AB3">
      <w:pPr>
        <w:pStyle w:val="ListParagraph"/>
        <w:spacing w:after="0" w:line="23" w:lineRule="atLeast"/>
        <w:ind w:firstLine="720"/>
        <w:jc w:val="both"/>
        <w:rPr>
          <w:rFonts w:ascii="Times New Roman" w:hAnsi="Times New Roman"/>
          <w:sz w:val="24"/>
          <w:szCs w:val="24"/>
        </w:rPr>
      </w:pPr>
    </w:p>
    <w:p w14:paraId="7A927096" w14:textId="77777777" w:rsidR="00666BF3" w:rsidRPr="008B775A" w:rsidRDefault="00666BF3" w:rsidP="00034AB3">
      <w:pPr>
        <w:spacing w:line="23" w:lineRule="atLeast"/>
        <w:ind w:firstLine="720"/>
        <w:rPr>
          <w:rFonts w:ascii="Times New Roman" w:hAnsi="Times New Roman"/>
          <w:sz w:val="24"/>
          <w:szCs w:val="24"/>
        </w:rPr>
      </w:pPr>
    </w:p>
    <w:sectPr w:rsidR="00666BF3" w:rsidRPr="008B775A" w:rsidSect="00E77BC6">
      <w:pgSz w:w="11906" w:h="16838"/>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9D0D" w14:textId="77777777" w:rsidR="00666BF3" w:rsidRDefault="00666BF3" w:rsidP="00666BF3">
      <w:pPr>
        <w:spacing w:after="0" w:line="240" w:lineRule="auto"/>
      </w:pPr>
      <w:r>
        <w:separator/>
      </w:r>
    </w:p>
  </w:endnote>
  <w:endnote w:type="continuationSeparator" w:id="0">
    <w:p w14:paraId="1C8832B7" w14:textId="77777777" w:rsidR="00666BF3" w:rsidRDefault="00666BF3" w:rsidP="0066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E272" w14:textId="77777777" w:rsidR="00666BF3" w:rsidRDefault="00666BF3" w:rsidP="00666BF3">
      <w:pPr>
        <w:spacing w:after="0" w:line="240" w:lineRule="auto"/>
      </w:pPr>
      <w:r>
        <w:separator/>
      </w:r>
    </w:p>
  </w:footnote>
  <w:footnote w:type="continuationSeparator" w:id="0">
    <w:p w14:paraId="29933E18" w14:textId="77777777" w:rsidR="00666BF3" w:rsidRDefault="00666BF3" w:rsidP="00666BF3">
      <w:pPr>
        <w:spacing w:after="0" w:line="240" w:lineRule="auto"/>
      </w:pPr>
      <w:r>
        <w:continuationSeparator/>
      </w:r>
    </w:p>
  </w:footnote>
  <w:footnote w:id="1">
    <w:p w14:paraId="705416EF" w14:textId="14AFA1F3" w:rsidR="00A04F02" w:rsidRPr="00A04F02" w:rsidRDefault="00A04F02">
      <w:pPr>
        <w:pStyle w:val="FootnoteText"/>
        <w:rPr>
          <w:lang w:val="en-US"/>
        </w:rPr>
      </w:pPr>
      <w:r w:rsidRPr="00552667">
        <w:rPr>
          <w:rStyle w:val="FootnoteReference"/>
        </w:rPr>
        <w:footnoteRef/>
      </w:r>
      <w:r>
        <w:t xml:space="preserve"> </w:t>
      </w:r>
      <w:r>
        <w:fldChar w:fldCharType="begin"/>
      </w:r>
      <w:r>
        <w:instrText xml:space="preserve"> ADDIN ZOTERO_ITEM CSL_CITATION {"citationID":"3dt2Ls9d","properties":{"formattedCitation":"Enni Martalena Pasaribu et al., \\uc0\\u8220{}Analisis Hukum Terhadap Benda Jaminan Fidusia Yang Digadaikan Oleh Debitur Kepada Pihak Lain,\\uc0\\u8221{} {\\i{}ARBITER: Jurnal Ilmiah Magister Hukum} 1, no. 1 (May 2, 2019): 53\\uc0\\u8211{}65, https://doi.org/10.31289/arbiter.v1i1.105.","plainCitation":"Enni Martalena Pasaribu et al., “Analisis Hukum Terhadap Benda Jaminan Fidusia Yang Digadaikan Oleh Debitur Kepada Pihak Lain,” ARBITER: Jurnal Ilmiah Magister Hukum 1, no. 1 (May 2, 2019): 53–65, https://doi.org/10.31289/arbiter.v1i1.105.","noteIndex":1},"citationItems":[{"id":4,"uris":["http://zotero.org/users/local/3lvjNiZ9/items/5FH7MGEM"],"itemData":{"id":4,"type":"article-journal","abstract":"The research aims to examine the transfer of ownership rights of an object on the basis of trust provided that the object whose ownership rights are transferred remains in the possession of the owner of the object. While the fiduciary guarantee is a fiduciary guarantee institution that can be used to bind the collateral object in the form of movable and immovable objects, especially buildings that cannot be encumbered by mortgage rights. But sometimes the fiduciary collateral is not always the fiduciary giver (debtor) as is mortgaged. Based on this the authors are interested in conducting more in-depth research about collateral objects that are mortgaged by the debtor to other parties. The approach method used in this research is empirical juridical. The data obtained is guided by the empirical aspects that are used as a tool. The research results obtained that the provisions regarding fiduciary guarantees are regulated in the contractual agreement clause by the finance company (PT. SMS Finance and PT BAF Medan Branch) and if not clearly regulated then the provisions of Law Number 42 of 1999 concerning Fiduciary Guarantees apply.","container-title":"ARBITER: Jurnal Ilmiah Magister Hukum","DOI":"10.31289/arbiter.v1i1.105","ISSN":"2722-1865","issue":"1","journalAbbreviation":"ARBITER","page":"53-65","source":"DOI.org (Crossref)","title":"Analisis Hukum terhadap Benda Jaminan Fidusia yang Digadaikan oleh Debitur Kepada Pihak Lain","volume":"1","author":[{"family":"Pasaribu","given":"Enni Martalena"},{"family":"Minin","given":"Darwinsyah"},{"family":"Marlina","given":"Marlina"},{"family":"Ramadhan","given":"M. Citra"}],"issued":{"date-parts":[["2019",5,2]]}}}],"schema":"https://github.com/citation-style-language/schema/raw/master/csl-citation.json"} </w:instrText>
      </w:r>
      <w:r>
        <w:fldChar w:fldCharType="separate"/>
      </w:r>
      <w:r w:rsidR="003D3269" w:rsidRPr="003D3269">
        <w:rPr>
          <w:rFonts w:ascii="Calibri" w:hAnsi="Calibri" w:cs="Calibri"/>
          <w:kern w:val="0"/>
          <w:szCs w:val="24"/>
        </w:rPr>
        <w:t xml:space="preserve">Enni Martalena Pasaribu et al., “Analisis Hukum Terhadap Benda Jaminan Fidusia Yang Digadaikan Oleh Debitur Kepada Pihak Lain,” </w:t>
      </w:r>
      <w:r w:rsidR="003D3269" w:rsidRPr="003D3269">
        <w:rPr>
          <w:rFonts w:ascii="Calibri" w:hAnsi="Calibri" w:cs="Calibri"/>
          <w:i/>
          <w:iCs/>
          <w:kern w:val="0"/>
          <w:szCs w:val="24"/>
        </w:rPr>
        <w:t>ARBITER: Jurnal Ilmiah Magister Hukum</w:t>
      </w:r>
      <w:r w:rsidR="003D3269" w:rsidRPr="003D3269">
        <w:rPr>
          <w:rFonts w:ascii="Calibri" w:hAnsi="Calibri" w:cs="Calibri"/>
          <w:kern w:val="0"/>
          <w:szCs w:val="24"/>
        </w:rPr>
        <w:t xml:space="preserve"> 1, no. 1 (May 2, 2019): 53–65, https://doi.org/10.31289/arbiter.v1i1.105.</w:t>
      </w:r>
      <w:r>
        <w:fldChar w:fldCharType="end"/>
      </w:r>
    </w:p>
  </w:footnote>
  <w:footnote w:id="2">
    <w:p w14:paraId="2252213F" w14:textId="729B2943" w:rsidR="003D3269" w:rsidRPr="003D3269" w:rsidRDefault="003D3269">
      <w:pPr>
        <w:pStyle w:val="FootnoteText"/>
        <w:rPr>
          <w:lang w:val="en-US"/>
        </w:rPr>
      </w:pPr>
      <w:r w:rsidRPr="00552667">
        <w:rPr>
          <w:rStyle w:val="FootnoteReference"/>
        </w:rPr>
        <w:footnoteRef/>
      </w:r>
      <w:r>
        <w:t xml:space="preserve"> </w:t>
      </w:r>
      <w:r>
        <w:fldChar w:fldCharType="begin"/>
      </w:r>
      <w:r>
        <w:instrText xml:space="preserve"> ADDIN ZOTERO_ITEM CSL_CITATION {"citationID":"jFt5K1s5","properties":{"formattedCitation":"Esca Sari Ayu Wulandari and Achmad Syarifuddin, \\uc0\\u8220{}PENARIKAN SECARA PAKSA OBJEK JAMINAN FIDUSIA DALAM HUBUNGAN PERLINDUNGAN ANGSURAN KREDIT DEBITUR,\\uc0\\u8221{} 2020.","plainCitation":"Esca Sari Ayu Wulandari and Achmad Syarifuddin, “PENARIKAN SECARA PAKSA OBJEK JAMINAN FIDUSIA DALAM HUBUNGAN PERLINDUNGAN ANGSURAN KREDIT DEBITUR,” 2020.","noteIndex":2},"citationItems":[{"id":30,"uris":["http://zotero.org/users/local/3lvjNiZ9/items/IHQMH3M8"],"itemData":{"id":30,"type":"article-journal","language":"id","source":"Zotero","title":"PENARIKAN SECARA PAKSA OBJEK JAMINAN FIDUSIA DALAM HUBUNGAN PERLINDUNGAN ANGSURAN KREDIT DEBITUR","author":[{"family":"Wulandari","given":"Esca Sari Ayu"},{"family":"Syarifuddin","given":"Achmad"}],"issued":{"date-parts":[["2020"]]}}}],"schema":"https://github.com/citation-style-language/schema/raw/master/csl-citation.json"} </w:instrText>
      </w:r>
      <w:r>
        <w:fldChar w:fldCharType="separate"/>
      </w:r>
      <w:r w:rsidRPr="003D3269">
        <w:rPr>
          <w:rFonts w:ascii="Calibri" w:hAnsi="Calibri" w:cs="Calibri"/>
          <w:kern w:val="0"/>
          <w:szCs w:val="24"/>
        </w:rPr>
        <w:t>Esca Sari Ayu Wulandari and Achmad Syarifuddin, “PENARIKAN SECARA PAKSA OBJEK JAMINAN FIDUSIA DALAM HUBUNGAN PERLINDUNGAN ANGSURAN KREDIT DEBITUR,” 2020.</w:t>
      </w:r>
      <w:r>
        <w:fldChar w:fldCharType="end"/>
      </w:r>
    </w:p>
  </w:footnote>
  <w:footnote w:id="3">
    <w:p w14:paraId="335FFC94" w14:textId="19AA4454" w:rsidR="0084049B" w:rsidRPr="0084049B" w:rsidRDefault="0084049B">
      <w:pPr>
        <w:pStyle w:val="FootnoteText"/>
        <w:rPr>
          <w:lang w:val="en-US"/>
        </w:rPr>
      </w:pPr>
      <w:r>
        <w:rPr>
          <w:rStyle w:val="FootnoteReference"/>
        </w:rPr>
        <w:footnoteRef/>
      </w:r>
      <w:r>
        <w:t xml:space="preserve"> </w:t>
      </w:r>
      <w:r>
        <w:fldChar w:fldCharType="begin"/>
      </w:r>
      <w:r>
        <w:instrText xml:space="preserve"> ADDIN ZOTERO_ITEM CSL_CITATION {"citationID":"4CaCjJDN","properties":{"formattedCitation":"{\\i{}Law No. 42/1999 on Fiduciary Guarantee}, 1999.","plainCitation":"Law No. 42/1999 on Fiduciary Guarantee, 1999.","noteIndex":3},"citationItems":[{"id":45,"uris":["http://zotero.org/users/local/3lvjNiZ9/items/NAKIL2GF"],"itemData":{"id":45,"type":"book","title":"Law No. 42/1999 on Fiduciary Guarantee","issued":{"date-parts":[["1999"]]}}}],"schema":"https://github.com/citation-style-language/schema/raw/master/csl-citation.json"} </w:instrText>
      </w:r>
      <w:r>
        <w:fldChar w:fldCharType="separate"/>
      </w:r>
      <w:r w:rsidRPr="0084049B">
        <w:rPr>
          <w:rFonts w:ascii="Calibri" w:hAnsi="Calibri" w:cs="Calibri"/>
          <w:i/>
          <w:iCs/>
          <w:kern w:val="0"/>
          <w:szCs w:val="24"/>
        </w:rPr>
        <w:t>Law No. 42/1999 on Fiduciary Guarantee</w:t>
      </w:r>
      <w:r w:rsidRPr="0084049B">
        <w:rPr>
          <w:rFonts w:ascii="Calibri" w:hAnsi="Calibri" w:cs="Calibri"/>
          <w:kern w:val="0"/>
          <w:szCs w:val="24"/>
        </w:rPr>
        <w:t>, 1999.</w:t>
      </w:r>
      <w:r>
        <w:fldChar w:fldCharType="end"/>
      </w:r>
    </w:p>
  </w:footnote>
  <w:footnote w:id="4">
    <w:p w14:paraId="18040095" w14:textId="7F09851C" w:rsidR="002B4865" w:rsidRPr="002B4865" w:rsidRDefault="002B4865">
      <w:pPr>
        <w:pStyle w:val="FootnoteText"/>
        <w:rPr>
          <w:lang w:val="en-US"/>
        </w:rPr>
      </w:pPr>
      <w:r w:rsidRPr="00552667">
        <w:rPr>
          <w:rStyle w:val="FootnoteReference"/>
        </w:rPr>
        <w:footnoteRef/>
      </w:r>
      <w:r>
        <w:t xml:space="preserve"> </w:t>
      </w:r>
      <w:r>
        <w:fldChar w:fldCharType="begin"/>
      </w:r>
      <w:r>
        <w:instrText xml:space="preserve"> ADDIN ZOTERO_ITEM CSL_CITATION {"citationID":"OCER2DzZ","properties":{"formattedCitation":"Khifni Kafa Rufaida, \\uc0\\u8220{}TINJAUAN HUKUM TERHADAP EKSEKUSI OBJEK JAMINAN FIDUSIA TANPA TITEL EKSEKUTORIAL YANG SAH,\\uc0\\u8221{} {\\i{}Refleksi Hukum: Jurnal Ilmu Hukum} 4, no. 1 (October 31, 2019): 21\\uc0\\u8211{}40, https://doi.org/10.24246/jrh.2019.v4.i1.p21-40.","plainCitation":"Khifni Kafa Rufaida, “TINJAUAN HUKUM TERHADAP EKSEKUSI OBJEK JAMINAN FIDUSIA TANPA TITEL EKSEKUTORIAL YANG SAH,” Refleksi Hukum: Jurnal Ilmu Hukum 4, no. 1 (October 31, 2019): 21–40, https://doi.org/10.24246/jrh.2019.v4.i1.p21-40.","noteIndex":4},"citationItems":[{"id":6,"uris":["http://zotero.org/users/local/3lvjNiZ9/items/7GXYERCC"],"itemData":{"id":6,"type":"article-journal","abstract":"Peristiwa penarikan oleh debt collector melahirkan asumsi publik yang bersifat subjektif dan tendensius, yang memojokkan posisi lembaga pembiayaan (kreditur). Padahal penarikan tersebut selalu diawali dengan somasi 3 (tiga) kali berturut-turut agar debitur segera melunasi prestasinya. Penarikan semacam ini sah dimata hukum, sebab konstruksi pembiayaan konsumen memiliki dua macam jaminan yaitu jaminan utama dan jaminan tambahan (jaminan fidusia). Jaminan yang kedua diperuntukkan sebagai jaminan kebendaan untuk memenuhi pelunasan seluruh hutang debitur. Titel eksekutorial dalam Sertifikat Jaminan Fidusia mempunyai kekuatan eksekutorial yang sama dengan putusan pengadilan yang telah memperoleh kekuatan hukum tetap meskipun tidak bersifat condemnatoir. Pemegang Sertifikat Jaminan Fidusia berkedudukan seperti seseorang yang sudah memegang putusan pengadilan yang telah mempunyai kekuatan hukum tetap. Namun, pelaksanaannya membutuhkan fiat eksekusi dari Ketua Pengadilan. Pendaftaran jaminan fidusia sangat penting karena melahirkan hak kebendaan yang memiliki sifat droit de suite, droit de preference, spesialitas dan publisitas.","container-title":"Refleksi Hukum: Jurnal Ilmu Hukum","DOI":"10.24246/jrh.2019.v4.i1.p21-40","ISSN":"2541-5417, 2541-4984","issue":"1","journalAbbreviation":"JRH","page":"21-40","source":"DOI.org (Crossref)","title":"TINJAUAN HUKUM TERHADAP EKSEKUSI OBJEK JAMINAN FIDUSIA TANPA TITEL EKSEKUTORIAL YANG SAH","volume":"4","author":[{"family":"Rufaida","given":"Khifni Kafa"}],"issued":{"date-parts":[["2019",10,31]]}}}],"schema":"https://github.com/citation-style-language/schema/raw/master/csl-citation.json"} </w:instrText>
      </w:r>
      <w:r>
        <w:fldChar w:fldCharType="separate"/>
      </w:r>
      <w:r w:rsidR="003D3269" w:rsidRPr="003D3269">
        <w:rPr>
          <w:rFonts w:ascii="Calibri" w:hAnsi="Calibri" w:cs="Calibri"/>
          <w:kern w:val="0"/>
          <w:szCs w:val="24"/>
        </w:rPr>
        <w:t xml:space="preserve">Khifni Kafa Rufaida, “TINJAUAN HUKUM TERHADAP EKSEKUSI OBJEK JAMINAN FIDUSIA TANPA TITEL EKSEKUTORIAL YANG SAH,” </w:t>
      </w:r>
      <w:r w:rsidR="003D3269" w:rsidRPr="003D3269">
        <w:rPr>
          <w:rFonts w:ascii="Calibri" w:hAnsi="Calibri" w:cs="Calibri"/>
          <w:i/>
          <w:iCs/>
          <w:kern w:val="0"/>
          <w:szCs w:val="24"/>
        </w:rPr>
        <w:t>Refleksi Hukum: Jurnal Ilmu Hukum</w:t>
      </w:r>
      <w:r w:rsidR="003D3269" w:rsidRPr="003D3269">
        <w:rPr>
          <w:rFonts w:ascii="Calibri" w:hAnsi="Calibri" w:cs="Calibri"/>
          <w:kern w:val="0"/>
          <w:szCs w:val="24"/>
        </w:rPr>
        <w:t xml:space="preserve"> 4, no. 1 (October 31, 2019): 21–40, https://doi.org/10.24246/jrh.2019.v4.i1.p21-40.</w:t>
      </w:r>
      <w:r>
        <w:fldChar w:fldCharType="end"/>
      </w:r>
    </w:p>
  </w:footnote>
  <w:footnote w:id="5">
    <w:p w14:paraId="2A59A8F5" w14:textId="48313DC6" w:rsidR="00654DAC" w:rsidRDefault="00654DAC" w:rsidP="00654DAC">
      <w:pPr>
        <w:pStyle w:val="FootnoteText"/>
      </w:pPr>
      <w:r w:rsidRPr="00552667">
        <w:rPr>
          <w:rStyle w:val="FootnoteReference"/>
        </w:rPr>
        <w:footnoteRef/>
      </w:r>
      <w:r w:rsidR="00EC5E8A" w:rsidRPr="009E0AFF">
        <w:rPr>
          <w:rFonts w:cs="Calibri"/>
          <w:lang w:val="en-US"/>
        </w:rPr>
        <w:t xml:space="preserve">Pasal 29 </w:t>
      </w:r>
      <w:proofErr w:type="spellStart"/>
      <w:r w:rsidR="00EC5E8A" w:rsidRPr="009E0AFF">
        <w:rPr>
          <w:rFonts w:cs="Calibri"/>
          <w:lang w:val="en-US"/>
        </w:rPr>
        <w:t>op.cit</w:t>
      </w:r>
      <w:proofErr w:type="spellEnd"/>
    </w:p>
  </w:footnote>
  <w:footnote w:id="6">
    <w:p w14:paraId="4459CBFD" w14:textId="7C0C8A4B" w:rsidR="005E2362" w:rsidRPr="005E2362" w:rsidRDefault="005E2362">
      <w:pPr>
        <w:pStyle w:val="FootnoteText"/>
        <w:rPr>
          <w:lang w:val="en-US"/>
        </w:rPr>
      </w:pPr>
      <w:r w:rsidRPr="00552667">
        <w:rPr>
          <w:rStyle w:val="FootnoteReference"/>
        </w:rPr>
        <w:footnoteRef/>
      </w:r>
      <w:r>
        <w:t xml:space="preserve"> </w:t>
      </w:r>
      <w:r>
        <w:fldChar w:fldCharType="begin"/>
      </w:r>
      <w:r>
        <w:instrText xml:space="preserve"> ADDIN ZOTERO_ITEM CSL_CITATION {"citationID":"KztmkAkh","properties":{"formattedCitation":"Yassir Arafat, \\uc0\\u8220{}Prinsip-Prinsip Perlindungan Hukum Yang Seimbang Dalam Kontrak,\\uc0\\u8221{} {\\i{}JURNAL RECHTENS} 4, no. 2 (December 31, 2015): 25\\uc0\\u8211{}39, https://doi.org/10.36835/rechtens.v4i2.117.","plainCitation":"Yassir Arafat, “Prinsip-Prinsip Perlindungan Hukum Yang Seimbang Dalam Kontrak,” JURNAL RECHTENS 4, no. 2 (December 31, 2015): 25–39, https://doi.org/10.36835/rechtens.v4i2.117.","noteIndex":6},"citationItems":[{"id":9,"uris":["http://zotero.org/users/local/3lvjNiZ9/items/WDJ9V5T7"],"itemData":{"id":9,"type":"article-journal","abstract":"Protection of law by contracting in the world of business, representing very popular type. However, at other side of opportunity broadness to determine protection of law alone by contracting oftentimes generate loss which do not be anticipated previously. Principal applying of protection of well-balanced law in cooperation agreement, aim to to protect importance of its bearing the parties with arrangement of each rights and obligations which relied on justice principles and rule of law. Freedom ground contract if confronted with agreement which in form of contract standard, or agreement which in making by the parties which do not have is same position bargaining (dimiciling well-balanced) hence can be said that by the cooperation agreement disagree with freedom ground contract even yield an inequitable agreement. Besides disagree with freedom ground contract, there are some other contract principle of justice very have potency to be impinged: good faith, existence of abuse of situation and principle of comtemporaneus.","container-title":"JURNAL RECHTENS","DOI":"10.36835/rechtens.v4i2.117","ISSN":"2622-1802","issue":"2","language":"en","license":"Copyright (c) 2015 JURNAL RECHTENS","note":"number: 2","page":"25-39","source":"ejurnal.uij.ac.id","title":"Prinsip-Prinsip Perlindungan Hukum yang Seimbang dalam Kontrak","volume":"4","author":[{"family":"Arafat","given":"Yassir"}],"issued":{"date-parts":[["2015",12,31]]}}}],"schema":"https://github.com/citation-style-language/schema/raw/master/csl-citation.json"} </w:instrText>
      </w:r>
      <w:r>
        <w:fldChar w:fldCharType="separate"/>
      </w:r>
      <w:r w:rsidR="003D3269" w:rsidRPr="003D3269">
        <w:rPr>
          <w:rFonts w:ascii="Calibri" w:hAnsi="Calibri" w:cs="Calibri"/>
          <w:kern w:val="0"/>
          <w:szCs w:val="24"/>
        </w:rPr>
        <w:t xml:space="preserve">Yassir Arafat, “Prinsip-Prinsip Perlindungan Hukum Yang Seimbang Dalam Kontrak,” </w:t>
      </w:r>
      <w:r w:rsidR="003D3269" w:rsidRPr="003D3269">
        <w:rPr>
          <w:rFonts w:ascii="Calibri" w:hAnsi="Calibri" w:cs="Calibri"/>
          <w:i/>
          <w:iCs/>
          <w:kern w:val="0"/>
          <w:szCs w:val="24"/>
        </w:rPr>
        <w:t>JURNAL RECHTENS</w:t>
      </w:r>
      <w:r w:rsidR="003D3269" w:rsidRPr="003D3269">
        <w:rPr>
          <w:rFonts w:ascii="Calibri" w:hAnsi="Calibri" w:cs="Calibri"/>
          <w:kern w:val="0"/>
          <w:szCs w:val="24"/>
        </w:rPr>
        <w:t xml:space="preserve"> 4, no. 2 (December 31, 2015): 25–39, https://doi.org/10.36835/rechtens.v4i2.117.</w:t>
      </w:r>
      <w:r>
        <w:fldChar w:fldCharType="end"/>
      </w:r>
    </w:p>
  </w:footnote>
  <w:footnote w:id="7">
    <w:p w14:paraId="6017C2B1" w14:textId="523BF615" w:rsidR="0084049B" w:rsidRPr="0084049B" w:rsidRDefault="0084049B">
      <w:pPr>
        <w:pStyle w:val="FootnoteText"/>
        <w:rPr>
          <w:lang w:val="en-US"/>
        </w:rPr>
      </w:pPr>
      <w:r>
        <w:rPr>
          <w:rStyle w:val="FootnoteReference"/>
        </w:rPr>
        <w:footnoteRef/>
      </w:r>
      <w:r>
        <w:t xml:space="preserve"> </w:t>
      </w:r>
      <w:r>
        <w:fldChar w:fldCharType="begin"/>
      </w:r>
      <w:r>
        <w:instrText xml:space="preserve"> ADDIN ZOTERO_ITEM CSL_CITATION {"citationID":"eCx0BxdQ","properties":{"formattedCitation":"Mahkamah Konstitusi, \\uc0\\u8220{}Putusan Mahkamah Konstitusi Nomor 18/PUU-XVII/2019,\\uc0\\u8221{} Putusan Mahkamah Konstitusi Nomor 18/PUU-XVII/2019, Agustus     at 19.10 WIB 2023, https://www.mkri.id/index.php?page=web.Putusan&amp;id=1&amp;kat=1&amp;cari=18%2FPUU-XVII%2F2019.","plainCitation":"Mahkamah Konstitusi, “Putusan Mahkamah Konstitusi Nomor 18/PUU-XVII/2019,” Putusan Mahkamah Konstitusi Nomor 18/PUU-XVII/2019, Agustus     at 19.10 WIB 2023, https://www.mkri.id/index.php?page=web.Putusan&amp;id=1&amp;kat=1&amp;cari=18%2FPUU-XVII%2F2019.","noteIndex":7},"citationItems":[{"id":44,"uris":["http://zotero.org/users/local/3lvjNiZ9/items/MHQDRCMM"],"itemData":{"id":44,"type":"webpage","container-title":"Putusan Mahkamah Konstitusi Nomor 18/PUU-XVII/2019","title":"Putusan Mahkamah Konstitusi Nomor 18/PUU-XVII/2019","URL":"https://www.mkri.id/index.php?page=web.Putusan&amp;id=1&amp;kat=1&amp;cari=18%2FPUU-XVII%2F2019","author":[{"family":"","given":"Mahkamah Konstitusi"}],"issued":{"date-parts":[["2023"]],"season":"Agustus     at 19.10 WIB"}}}],"schema":"https://github.com/citation-style-language/schema/raw/master/csl-citation.json"} </w:instrText>
      </w:r>
      <w:r>
        <w:fldChar w:fldCharType="separate"/>
      </w:r>
      <w:r w:rsidRPr="0084049B">
        <w:rPr>
          <w:rFonts w:ascii="Calibri" w:hAnsi="Calibri" w:cs="Calibri"/>
          <w:kern w:val="0"/>
          <w:szCs w:val="24"/>
        </w:rPr>
        <w:t>Mahkamah Konstitusi, “Putusan Mahkamah Konstitusi Nomor 18/PUU-XVII/2019,” Putusan Mahkamah Konstitusi Nomor 18/PUU-XVII/2019, Agustus     at 19.10 WIB 2023, https://www.mkri.id/index.php?page=web.Putusan&amp;id=1&amp;kat=1&amp;cari=18%2FPUU-XVII%2F2019.</w:t>
      </w:r>
      <w:r>
        <w:fldChar w:fldCharType="end"/>
      </w:r>
    </w:p>
  </w:footnote>
  <w:footnote w:id="8">
    <w:p w14:paraId="22046625" w14:textId="43E7841B" w:rsidR="00FC19F0" w:rsidRPr="00FC19F0" w:rsidRDefault="00FC19F0">
      <w:pPr>
        <w:pStyle w:val="FootnoteText"/>
        <w:rPr>
          <w:lang w:val="en-US"/>
        </w:rPr>
      </w:pPr>
      <w:r w:rsidRPr="00552667">
        <w:rPr>
          <w:rStyle w:val="FootnoteReference"/>
        </w:rPr>
        <w:footnoteRef/>
      </w:r>
      <w:r>
        <w:t xml:space="preserve"> </w:t>
      </w:r>
      <w:r>
        <w:fldChar w:fldCharType="begin"/>
      </w:r>
      <w:r>
        <w:instrText xml:space="preserve"> ADDIN ZOTERO_ITEM CSL_CITATION {"citationID":"DcDLJHGt","properties":{"formattedCitation":"Budi Junaedi, Merry Tjoanda, and Teng Berlianty, \\uc0\\u8220{}Perlindungan Hukum Pada Debitur Atas Penarikan Objek Jaminan Fidusia Melalui Parate Eksekusi,\\uc0\\u8221{} {\\i{}PATTIMURA Legal Journal} 1, no. 2 (August 18, 2022): 124\\uc0\\u8211{}32, https://doi.org/10.47268/pela.v1i2.6433.","plainCitation":"Budi Junaedi, Merry Tjoanda, and Teng Berlianty, “Perlindungan Hukum Pada Debitur Atas Penarikan Objek Jaminan Fidusia Melalui Parate Eksekusi,” PATTIMURA Legal Journal 1, no. 2 (August 18, 2022): 124–32, https://doi.org/10.47268/pela.v1i2.6433.","noteIndex":8},"citationItems":[{"id":35,"uris":["http://zotero.org/users/local/3lvjNiZ9/items/BBNHHV62"],"itemData":{"id":35,"type":"article-journal","abstract":"Introduction: The arrangement for the execution of fiduciary guarantees as explained in the decision of the Constitutional Court Number 2/PUU-XIX/2021 requires the execution of a fiduciary guarantee certificate which is carried out and applies the same as the execution of court decisions which have permanent legal force. \r\nPurposes of the Research: This study aims to find out how the procedure for withdrawing fiduciary guarantees is through the execution parate, and what forms of legal protection are given to debtors for the withdrawal of fiduciary guarantees through the execution parate.\r\nMethods of the Research: This study uses a normative legal research method, which aims to determine the procedure for withdrawing fiduciary guarantees through the execution parate, and how the form of legal protection is given to debtors for the withdrawal of fiduciary guarantees through the execution parate. \r\nResults Originality of the Research: Legal protection for debtors for the withdrawal of the object of fiduciary security is strengthened through the decision of the Constitutional Court Number 2/PUU-X1X/2021. The decision regulates the existence of an agreement or voluntary surrender of the object of fiduciary security from the debtor to the creditor without any act of unilateral control of the object of guarantee by the creditor. On the other hand, if there is no agreement or voluntary surrender, then new control can be carried out with the knowledge of the court","container-title":"PATTIMURA Legal Journal","DOI":"10.47268/pela.v1i2.6433","ISSN":"2830-2435","issue":"2","journalAbbreviation":"Pela","page":"124-132","source":"DOI.org (Crossref)","title":"Perlindungan Hukum pada Debitur atas Penarikan Objek Jaminan Fidusia melalui Parate Eksekusi","volume":"1","author":[{"family":"Junaedi","given":"Budi"},{"family":"Tjoanda","given":"Merry"},{"family":"Berlianty","given":"Teng"}],"issued":{"date-parts":[["2022",8,18]]}}}],"schema":"https://github.com/citation-style-language/schema/raw/master/csl-citation.json"} </w:instrText>
      </w:r>
      <w:r>
        <w:fldChar w:fldCharType="separate"/>
      </w:r>
      <w:r w:rsidRPr="00FC19F0">
        <w:rPr>
          <w:rFonts w:ascii="Calibri" w:hAnsi="Calibri" w:cs="Calibri"/>
          <w:kern w:val="0"/>
          <w:szCs w:val="24"/>
        </w:rPr>
        <w:t xml:space="preserve">Budi Junaedi, Merry Tjoanda, and Teng Berlianty, “Perlindungan Hukum Pada Debitur Atas Penarikan Objek Jaminan Fidusia Melalui Parate Eksekusi,” </w:t>
      </w:r>
      <w:r w:rsidRPr="00FC19F0">
        <w:rPr>
          <w:rFonts w:ascii="Calibri" w:hAnsi="Calibri" w:cs="Calibri"/>
          <w:i/>
          <w:iCs/>
          <w:kern w:val="0"/>
          <w:szCs w:val="24"/>
        </w:rPr>
        <w:t>PATTIMURA Legal Journal</w:t>
      </w:r>
      <w:r w:rsidRPr="00FC19F0">
        <w:rPr>
          <w:rFonts w:ascii="Calibri" w:hAnsi="Calibri" w:cs="Calibri"/>
          <w:kern w:val="0"/>
          <w:szCs w:val="24"/>
        </w:rPr>
        <w:t xml:space="preserve"> 1, no. 2 (August 18, 2022): 124–32, https://doi.org/10.47268/pela.v1i2.6433.</w:t>
      </w:r>
      <w:r>
        <w:fldChar w:fldCharType="end"/>
      </w:r>
    </w:p>
  </w:footnote>
  <w:footnote w:id="9">
    <w:p w14:paraId="72559AC2" w14:textId="067F9DAE" w:rsidR="00932422" w:rsidRPr="00932422" w:rsidRDefault="00932422">
      <w:pPr>
        <w:pStyle w:val="FootnoteText"/>
        <w:rPr>
          <w:lang w:val="en-US"/>
        </w:rPr>
      </w:pPr>
      <w:r>
        <w:rPr>
          <w:rStyle w:val="FootnoteReference"/>
        </w:rPr>
        <w:footnoteRef/>
      </w:r>
      <w:r>
        <w:t xml:space="preserve"> </w:t>
      </w:r>
      <w:r>
        <w:fldChar w:fldCharType="begin"/>
      </w:r>
      <w:r>
        <w:instrText xml:space="preserve"> ADDIN ZOTERO_ITEM CSL_CITATION {"citationID":"LTYUPldz","properties":{"formattedCitation":"Wiwin Dwi Ratna Febriyanti, \\uc0\\u8220{}EKSEKUSI OBJEK JAMINAN FIDUSIA PASCA PUTUSAN MAHKAMAH KONSTITUSI NOMOR 18/PUU-XVII/2019,\\uc0\\u8221{} {\\i{}ADHAPER: Jurnal Hukum Acara Perdata} 6, no. 2 (March 8, 2021): 39, https://doi.org/10.36913/jhaper.v6i2.128.","plainCitation":"Wiwin Dwi Ratna Febriyanti, “EKSEKUSI OBJEK JAMINAN FIDUSIA PASCA PUTUSAN MAHKAMAH KONSTITUSI NOMOR 18/PUU-XVII/2019,” ADHAPER: Jurnal Hukum Acara Perdata 6, no. 2 (March 8, 2021): 39, https://doi.org/10.36913/jhaper.v6i2.128.","noteIndex":9},"citationItems":[{"id":54,"uris":["http://zotero.org/users/local/3lvjNiZ9/items/AHRUFHSG"],"itemData":{"id":54,"type":"article-journal","abstract":"Fiduciary guarantees have existed in society since the Dutch colonial era because the fl exibility of objects that can be imposed by fi duciary increases the need for legal certainty for the guarantee of this model. UUJF requires the registration of fi duciary security to be imposed. Registration is carried out at the Ministry of Law and Human Rights to obtain a fi duciary certifi cate. The fi duciary certifi cate contains irah-irah which the power of execution so that the execution can be carried out immediately without going through a court and is final as explained in article 15 paragraph (2). In practice, this article often becomes a polemic in the community, causing actions against the law and even criminal acts when the fi duciary recipient wants to execute fi duciary collateral. After the decision of the Constitutional Court Number 18/PUU-XVII/2019, in its decision to redefi ne article 15 paragraph (2) and paragraph (3) UUJF, Based on this, this research discusses the executive power of the fi duciary security certifi cate after The Constitutional Court decision Number 18/PUU-XVII/2019. With statutory approach, and a conceptual approach, the conclusion is that the power of execution title in the fi duciary guarantee certifi cate is not changed, it’s just a legal consequence arising from the Constitutional Court decision number 18/PUU-XVII/2019, namely the implementation mechanism for the execution of the fi duciary guarantee certifi cate is carried out the same as the execution of court decisions that have permanent legal force (inkrah), when the grantor of fi duciary does not voluntarily surrender the object of fi duciary security under his control. Apart from that, it must be agreed by the parties regarding breach of contract. breach of contract should be detailed in the main agreement and the imposition of fi duciary security.","container-title":"ADHAPER: Jurnal Hukum Acara Perdata","DOI":"10.36913/jhaper.v6i2.128","ISSN":"2579-9509, 2442-9090","issue":"2","journalAbbreviation":"JHAPER","page":"39","source":"DOI.org (Crossref)","title":"EKSEKUSI OBJEK JAMINAN FIDUSIA PASCA PUTUSAN MAHKAMAH KONSTITUSI NOMOR 18/PUU-XVII/2019","volume":"6","author":[{"family":"Febriyanti","given":"Wiwin Dwi Ratna"}],"issued":{"date-parts":[["2021",3,8]]}}}],"schema":"https://github.com/citation-style-language/schema/raw/master/csl-citation.json"} </w:instrText>
      </w:r>
      <w:r>
        <w:fldChar w:fldCharType="separate"/>
      </w:r>
      <w:r w:rsidRPr="00932422">
        <w:rPr>
          <w:rFonts w:ascii="Calibri" w:hAnsi="Calibri" w:cs="Calibri"/>
          <w:kern w:val="0"/>
          <w:szCs w:val="24"/>
        </w:rPr>
        <w:t xml:space="preserve">Wiwin Dwi Ratna Febriyanti, “EKSEKUSI OBJEK JAMINAN FIDUSIA PASCA PUTUSAN MAHKAMAH KONSTITUSI NOMOR 18/PUU-XVII/2019,” </w:t>
      </w:r>
      <w:r w:rsidRPr="00932422">
        <w:rPr>
          <w:rFonts w:ascii="Calibri" w:hAnsi="Calibri" w:cs="Calibri"/>
          <w:i/>
          <w:iCs/>
          <w:kern w:val="0"/>
          <w:szCs w:val="24"/>
        </w:rPr>
        <w:t>ADHAPER: Jurnal Hukum Acara Perdata</w:t>
      </w:r>
      <w:r w:rsidRPr="00932422">
        <w:rPr>
          <w:rFonts w:ascii="Calibri" w:hAnsi="Calibri" w:cs="Calibri"/>
          <w:kern w:val="0"/>
          <w:szCs w:val="24"/>
        </w:rPr>
        <w:t xml:space="preserve"> 6, no. 2 (March 8, 2021): 39, https://doi.org/10.36913/jhaper.v6i2.128.</w:t>
      </w:r>
      <w:r>
        <w:fldChar w:fldCharType="end"/>
      </w:r>
    </w:p>
  </w:footnote>
  <w:footnote w:id="10">
    <w:p w14:paraId="05276C71" w14:textId="2762279D" w:rsidR="006751A3" w:rsidRPr="006751A3" w:rsidRDefault="006751A3">
      <w:pPr>
        <w:pStyle w:val="FootnoteText"/>
        <w:rPr>
          <w:lang w:val="en-US"/>
        </w:rPr>
      </w:pPr>
      <w:r>
        <w:rPr>
          <w:rStyle w:val="FootnoteReference"/>
        </w:rPr>
        <w:footnoteRef/>
      </w:r>
      <w:r>
        <w:t xml:space="preserve"> </w:t>
      </w:r>
      <w:r>
        <w:fldChar w:fldCharType="begin"/>
      </w:r>
      <w:r w:rsidR="00932422">
        <w:instrText xml:space="preserve"> ADDIN ZOTERO_ITEM CSL_CITATION {"citationID":"Pty59Gue","properties":{"formattedCitation":"Siti M. Badriyah R. Suharto and Agnia Zahradinda, \\uc0\\u8220{}PERLINDUNGAN HUKUM KREDITOR ATAS EKSEKUSI OBYEK JAMINAN FIDUSIA YANG DIALIHKAN KEPIHAK KETIGA (Studi Kasus Di Koperasi Simpan Pinjam Artomoro Sejahtera Semarang),\\uc0\\u8221{} {\\i{}Diponegoro Law Journal} 8, no. 1 (2019): 22\\uc0\\u8211{}35, https://doi.org/10.14710/dlj.2019.25326.","plainCitation":"Siti M. Badriyah R. Suharto and Agnia Zahradinda, “PERLINDUNGAN HUKUM KREDITOR ATAS EKSEKUSI OBYEK JAMINAN FIDUSIA YANG DIALIHKAN KEPIHAK KETIGA (Studi Kasus Di Koperasi Simpan Pinjam Artomoro Sejahtera Semarang),” Diponegoro Law Journal 8, no. 1 (2019): 22–35, https://doi.org/10.14710/dlj.2019.25326.","noteIndex":10},"citationItems":[{"id":46,"uris":["http://zotero.org/users/local/3lvjNiZ9/items/4KEF36N6"],"itemData":{"id":46,"type":"article-journal","container-title":"Diponegoro Law Journal","DOI":"https://doi.org/10.14710/dlj.2019.25326","issue":"1","page":"22-35","title":"PERLINDUNGAN HUKUM KREDITOR ATAS EKSEKUSI OBYEK JAMINAN FIDUSIA YANG DIALIHKAN KEPIHAK KETIGA (Studi Kasus di Koperasi Simpan Pinjam Artomoro Sejahtera Semarang)","volume":"8","author":[{"family":"R. Suharto","given":"Siti M. Badriyah"},{"family":"Zahradinda","given":"Agnia"}],"issued":{"date-parts":[["2019"]]}}}],"schema":"https://github.com/citation-style-language/schema/raw/master/csl-citation.json"} </w:instrText>
      </w:r>
      <w:r>
        <w:fldChar w:fldCharType="separate"/>
      </w:r>
      <w:r w:rsidRPr="006751A3">
        <w:rPr>
          <w:rFonts w:ascii="Calibri" w:hAnsi="Calibri" w:cs="Calibri"/>
          <w:kern w:val="0"/>
          <w:szCs w:val="24"/>
        </w:rPr>
        <w:t xml:space="preserve">Siti M. Badriyah R. Suharto and Agnia Zahradinda, “PERLINDUNGAN HUKUM KREDITOR ATAS EKSEKUSI OBYEK JAMINAN FIDUSIA YANG DIALIHKAN KEPIHAK KETIGA (Studi Kasus Di Koperasi Simpan Pinjam Artomoro Sejahtera Semarang),” </w:t>
      </w:r>
      <w:r w:rsidRPr="006751A3">
        <w:rPr>
          <w:rFonts w:ascii="Calibri" w:hAnsi="Calibri" w:cs="Calibri"/>
          <w:i/>
          <w:iCs/>
          <w:kern w:val="0"/>
          <w:szCs w:val="24"/>
        </w:rPr>
        <w:t>Diponegoro Law Journal</w:t>
      </w:r>
      <w:r w:rsidRPr="006751A3">
        <w:rPr>
          <w:rFonts w:ascii="Calibri" w:hAnsi="Calibri" w:cs="Calibri"/>
          <w:kern w:val="0"/>
          <w:szCs w:val="24"/>
        </w:rPr>
        <w:t xml:space="preserve"> 8, no. 1 (2019): 22–35, https://doi.org/10.14710/dlj.2019.25326.</w:t>
      </w:r>
      <w:r>
        <w:fldChar w:fldCharType="end"/>
      </w:r>
    </w:p>
  </w:footnote>
  <w:footnote w:id="11">
    <w:p w14:paraId="77EEC732" w14:textId="4A8E40AB" w:rsidR="007E5D88" w:rsidRPr="007E5D88" w:rsidRDefault="007E5D88">
      <w:pPr>
        <w:pStyle w:val="FootnoteText"/>
        <w:rPr>
          <w:lang w:val="en-US"/>
        </w:rPr>
      </w:pPr>
      <w:r>
        <w:rPr>
          <w:rStyle w:val="FootnoteReference"/>
        </w:rPr>
        <w:footnoteRef/>
      </w:r>
      <w:r>
        <w:t xml:space="preserve"> </w:t>
      </w:r>
      <w:r>
        <w:fldChar w:fldCharType="begin"/>
      </w:r>
      <w:r>
        <w:instrText xml:space="preserve"> ADDIN ZOTERO_ITEM CSL_CITATION {"citationID":"X0nZH7hX","properties":{"formattedCitation":"Shanti Riskawati, \\uc0\\u8220{}RASIO DECIDENDI PUTUSAN MAHKAMAH KONSTITUSI NOMOR 18/PUU-XVII/2019 DAN PERUBAHAN KONSTRUKSI NORMA EKSEKUSI DAN WANPRESTASI DALAM SISTEM HUKUM INDONESIA\\uc0\\u8221{} 5, no. 1 (2021): 33\\uc0\\u8211{}48, https://doi.org/10.23920/acta.v5i1.613.","plainCitation":"Shanti Riskawati, “RASIO DECIDENDI PUTUSAN MAHKAMAH KONSTITUSI NOMOR 18/PUU-XVII/2019 DAN PERUBAHAN KONSTRUKSI NORMA EKSEKUSI DAN WANPRESTASI DALAM SISTEM HUKUM INDONESIA” 5, no. 1 (2021): 33–48, https://doi.org/10.23920/acta.v5i1.613.","noteIndex":11},"citationItems":[{"id":59,"uris":["http://zotero.org/users/local/3lvjNiZ9/items/4QW9PCT5"],"itemData":{"id":59,"type":"article-journal","abstract":"The decision of the Constitutional Court (MK) Number 18/PUU-XVII/2019 has had a number of impacts. The creditor no longer able to execute the movable property collateral based on the fiduciary deed when the debtor defaults. What is the legal ratio of the Constitutional Court (MK) Decision Number 18/PUU-XVII/2019. This study uses a normative juridical method, a qualitative juridical approach, namely legal research that prioritizes research on library materials in the form of positive law, namely (MK) Number 18/PUU-XVII/2019, Fiduciary Law. The conclusion is the exclusive authority possessed by the recipient of Fiduciary Rights remains attached as long as there is no problem with the certainty of time regarding when the Fiduciary has failed his promise, and the debtor voluntarily surrenders the object which is the object of fiduciary. The creditor cannot immediately sell the object of the fiduciary guarantee because the covenant cannot be determined unilaterally by the creditor, but it must be with an agreement between the creditor and the debtor or on the basis of a court decision stating that the debtor is in default.","DOI":"https://doi.org/10.23920/acta.v5i1.613","issue":"1","language":"id","page":"33-48","source":"Zotero","title":"RASIO DECIDENDI PUTUSAN MAHKAMAH KONSTITUSI NOMOR 18/PUU-XVII/2019 DAN PERUBAHAN KONSTRUKSI NORMA EKSEKUSI DAN WANPRESTASI DALAM SISTEM HUKUM INDONESIA","volume":"5","author":[{"family":"Riskawati","given":"Shanti"}],"issued":{"date-parts":[["2021"]]}}}],"schema":"https://github.com/citation-style-language/schema/raw/master/csl-citation.json"} </w:instrText>
      </w:r>
      <w:r>
        <w:fldChar w:fldCharType="separate"/>
      </w:r>
      <w:r w:rsidRPr="007E5D88">
        <w:rPr>
          <w:rFonts w:ascii="Calibri" w:hAnsi="Calibri" w:cs="Calibri"/>
          <w:kern w:val="0"/>
          <w:szCs w:val="24"/>
        </w:rPr>
        <w:t>Shanti Riskawati, “RASIO DECIDENDI PUTUSAN MAHKAMAH KONSTITUSI NOMOR 18/PUU-XVII/2019 DAN PERUBAHAN KONSTRUKSI NORMA EKSEKUSI DAN WANPRESTASI DALAM SISTEM HUKUM INDONESIA” 5, no. 1 (2021): 33–48, https://doi.org/10.23920/acta.v5i1.613.</w:t>
      </w:r>
      <w:r>
        <w:fldChar w:fldCharType="end"/>
      </w:r>
    </w:p>
  </w:footnote>
  <w:footnote w:id="12">
    <w:p w14:paraId="0544F1C4" w14:textId="128FD2F2" w:rsidR="000C0BA0" w:rsidRPr="000C0BA0" w:rsidRDefault="000C0BA0">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{"citationID":"x9JKD1SF","properties":{"formattedCitation":"Robert Bouzen and Ashibly Ashibly, \\uc0\\u8220{}PELAKSANAAN EKSEKUSI JAMINAN FIDUSIA TERHADAP DEBITUR YANG WANPRESTASI SETELAH KELUARNYA PUTUSAN MAHKAMAH KONSTITUSI NOMOR 18/PUU-XVII/2019,\\uc0\\u8221{} {\\i{}Jurnal Gagasan Hukum} 3, no. 02 (December 29, 2021): 137\\uc0\\u8211{}48, https://doi.org/10.31849/jgh.v3i02.8907.","plainCitation":"Robert Bouzen and Ashibly Ashibly, “PELAKSANAAN EKSEKUSI JAMINAN FIDUSIA TERHADAP DEBITUR YANG WANPRESTASI SETELAH KELUARNYA PUTUSAN MAHKAMAH KONSTITUSI NOMOR 18/PUU-XVII/2019,” Jurnal Gagasan Hukum 3, no. 02 (December 29, 2021): 137–48, https://doi.org/10.31849/jgh.v3i02.8907.","noteIndex":11},"citationItems":[{"id":12,"uris":["http://zotero.org/users/local/3lvjNiZ9/items/H3RLFGQ2"],"itemData":{"id":12,"type":"article-journal","abstract":"Sertifikat jaminan fidusia berfungsi sebagai jaminan eksekusi ketika debitur cidera janji sebagaimana diatur dalam Undang-Undang RI Nomor 42 Tahun 1999 setelah adanya putusan oleh Mahkamah Konstitusi Nomor 18/PUU-XVII/2019 telah mengubah konsep parate eksekusi jaminan fidusia oleh pihak kreditur (perusahaan pembiayaan) terhadap objek jaminan fidusia apabila debitur wanprestasi. Tujuan penelitian ini adalah untuk mengetahui dampak dari putusan Mahkamah Konstitusi terhadap pelaksanaan eksekusi jaminan fidusia. Metode dalam penelitian ini menggunakan jenis penelitian hukum normatif. Hasil dan kesimpulan dalam karya ilmiah ini adalah terhadap jaminan fidusia yang tidak ada kesepakatan tentang cidera janji (wanprestasi) antara kedua belah pihak dan debitur keberatan menyerahkan secara sukarela objek yang menjadi jaminan fidusia, maka pelaksanaan eksekusi objek jaminan fidusia harus berdasarkan putusan pengadilan yang telah berkekuatan hukum tetap meskipun sertifikat Jaminan Fidusia telah mencantumkan irah-irah sebagai title eksekutorial serta di dalam perjanjian pembiayaan terdapat klausul pelaksanaan parate eksekusi apabila debitur cidera janji (wanprestasi).\nThe fiducial bail certificate serves as a guarantee of execution when the debitur pledge as fixed in the 1999 article of the constitutional court number 18/ puu-xvii /2019 has changed the concept of the parate of fiduciary execution by the creditors (finance company) to the fiduciary bail on the fiduciary basis if the debtor's interest is felt. The purpose of this study is to know the effects of a constitutional court ruling on the execution of fiduciary bail. The methods in this study use the normative type of legal research. The results and conclusions in this scientific work are against fiduciary guarantees that there is no agreement on an adverse promise between the two sides and the borrower's objection of voluntarily handing over an object which is fiduciary security, Therefore, the execution of a fiduciary security object should be based on a legally strong court ruling even though a fiduciary bail certificate has been ironed as an executive title and in the finance agreement stipulates that the party-executed clause is carried out in the wake of an unspecified execution clause.","container-title":"Jurnal Gagasan Hukum","DOI":"10.31849/jgh.v3i02.8907","ISSN":"2714-8688","issue":"02","language":"en-US","page":"137-148","source":"journal.unilak.ac.id","title":"PELAKSANAAN EKSEKUSI JAMINAN FIDUSIA TERHADAP DEBITUR YANG WANPRESTASI SETELAH KELUARNYA PUTUSAN MAHKAMAH KONSTITUSI NOMOR 18/PUU-XVII/2019","volume":"3","author":[{"family":"Bouzen","given":"Robert"},{"family":"Ashibly","given":"Ashibly"}],"issued":{"date-parts":[["2021",12,29]]}}}],"schema":"https://github.com/citation-style-language/schema/raw/master/csl-citation.json"} </w:instrText>
      </w:r>
      <w:r>
        <w:fldChar w:fldCharType="separate"/>
      </w:r>
      <w:r w:rsidR="003D3269" w:rsidRPr="003D3269">
        <w:rPr>
          <w:rFonts w:ascii="Calibri" w:hAnsi="Calibri" w:cs="Calibri"/>
          <w:kern w:val="0"/>
          <w:szCs w:val="24"/>
        </w:rPr>
        <w:t xml:space="preserve">Robert Bouzen and Ashibly Ashibly, “PELAKSANAAN EKSEKUSI JAMINAN FIDUSIA TERHADAP DEBITUR YANG WANPRESTASI SETELAH KELUARNYA PUTUSAN MAHKAMAH KONSTITUSI NOMOR 18/PUU-XVII/2019,” </w:t>
      </w:r>
      <w:r w:rsidR="003D3269" w:rsidRPr="003D3269">
        <w:rPr>
          <w:rFonts w:ascii="Calibri" w:hAnsi="Calibri" w:cs="Calibri"/>
          <w:i/>
          <w:iCs/>
          <w:kern w:val="0"/>
          <w:szCs w:val="24"/>
        </w:rPr>
        <w:t>Jurnal Gagasan Hukum</w:t>
      </w:r>
      <w:r w:rsidR="003D3269" w:rsidRPr="003D3269">
        <w:rPr>
          <w:rFonts w:ascii="Calibri" w:hAnsi="Calibri" w:cs="Calibri"/>
          <w:kern w:val="0"/>
          <w:szCs w:val="24"/>
        </w:rPr>
        <w:t xml:space="preserve"> 3, no. 02 (December 29, 2021): 137–48, https://doi.org/10.31849/jgh.v3i02.8907.</w:t>
      </w:r>
      <w:r>
        <w:fldChar w:fldCharType="end"/>
      </w:r>
    </w:p>
  </w:footnote>
  <w:footnote w:id="13">
    <w:p w14:paraId="0F7064D1" w14:textId="3326F5BF" w:rsidR="00970A41" w:rsidRPr="00970A41" w:rsidRDefault="00970A41">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{"citationID":"CgssM8FS","properties":{"formattedCitation":"Cliff Edward Fransiscus Liono, \\uc0\\u8220{}TINJAUAN YURIDIS TERHADAP PENARIKAN BARANG JAMINAN FIDUSIA SECARA PAKSA OLEH LEASING MELALUI DEBT COLLECTOR YANG DITINJAU BERDASARKAN UNDANGUNDANG NOMOR 42 TAHUN 1999 TENTANG JAMINAN FIDUSIA\\uc0\\u8221{} 9, no. 1 (1 Desember): 71\\uc0\\u8211{}78.","plainCitation":"Cliff Edward Fransiscus Liono, “TINJAUAN YURIDIS TERHADAP PENARIKAN BARANG JAMINAN FIDUSIA SECARA PAKSA OLEH LEASING MELALUI DEBT COLLECTOR YANG DITINJAU BERDASARKAN UNDANGUNDANG NOMOR 42 TAHUN 1999 TENTANG JAMINAN FIDUSIA” 9, no. 1 (1 Desember): 71–78.","noteIndex":13},"citationItems":[{"id":18,"uris":["http://zotero.org/users/local/3lvjNiZ9/items/LRU6N7IS"],"itemData":{"id":18,"type":"article-journal","abstract":"Tujuan dilakukannya penelitian ini adalah untuk mengetahui bagaimana proses penarikan secara paksa barang jaminan fidusia oleh debt collector di Indonesia dan apa akibat hukum atas perbuatan pihak leasing dan debt collector yang melakukan penarikan jaminan fidusia secara paksa. Dengan menggunakan metode penelitian yuridis normatif, disimpulkan: 1. Kedudukan hukum jasa pihak ketiga dalam penarikan objek fidusia oleh perusahaan leasing adalah tidak sah (ilegal) karena jika eksekusi terhadap jaminan barang obyek jaminan dilakukan secara sepihak, tindakan tersebut dapat dikategorikan sebagai Perbuatan Melanggar Hukum (PMH) sesuai diatur dalam Pasal 1365 KUH Perdata dan dapat digugat ganti kerugian. Hal tersebut menjadi peringatan bagi perusahaan pembiayaan yang tidak mendaftarkan perjanjian jaminan fidusia tersebut ke kantor pendaftaran Jaminan Fidusia. 2. Proses penarikan obyek fidusia oleh perusahaan leasing yang menggunakan jasa pihak ketiga(debt collector), dalam pelaksanaan penarikan terkadang pihak debt collector rentan menimbulkan tindakan-tindakan premanisme","issue":"1","page":"71-78","title":"TINJAUAN YURIDIS TERHADAP PENARIKAN BARANG JAMINAN FIDUSIA SECARA PAKSA OLEH LEASING MELALUI DEBT COLLECTOR YANG DITINJAU BERDASARKAN UNDANGUNDANG NOMOR 42 TAHUN 1999 TENTANG JAMINAN FIDUSIA","volume":"9","author":[{"family":"Fransiscus Liono","given":"Cliff Edward"}],"issued":{"literal":"1 Desember"}}}],"schema":"https://github.com/citation-style-language/schema/raw/master/csl-citation.json"} </w:instrText>
      </w:r>
      <w:r>
        <w:fldChar w:fldCharType="separate"/>
      </w:r>
      <w:r w:rsidR="003D3269" w:rsidRPr="003D3269">
        <w:rPr>
          <w:rFonts w:ascii="Calibri" w:hAnsi="Calibri" w:cs="Calibri"/>
          <w:kern w:val="0"/>
          <w:szCs w:val="24"/>
        </w:rPr>
        <w:t xml:space="preserve">Cliff Edward Fransiscus </w:t>
      </w:r>
      <w:proofErr w:type="spellStart"/>
      <w:r w:rsidR="003D3269" w:rsidRPr="003D3269">
        <w:rPr>
          <w:rFonts w:ascii="Calibri" w:hAnsi="Calibri" w:cs="Calibri"/>
          <w:kern w:val="0"/>
          <w:szCs w:val="24"/>
        </w:rPr>
        <w:t>Liono</w:t>
      </w:r>
      <w:proofErr w:type="spellEnd"/>
      <w:r w:rsidR="003D3269" w:rsidRPr="003D3269">
        <w:rPr>
          <w:rFonts w:ascii="Calibri" w:hAnsi="Calibri" w:cs="Calibri"/>
          <w:kern w:val="0"/>
          <w:szCs w:val="24"/>
        </w:rPr>
        <w:t>, “TINJAUAN YURIDIS TERHADAP PENARIKAN BARANG JAMINAN FIDUSIA SECARA PAKSA OLEH LEASING MELALUI DEBT COLLECTOR YANG DITINJAU BERDASARKAN UNDANGUNDANG NOMOR 42 TAHUN 1999 TENTANG JAMINAN FIDUSIA” 9, no. 1 (1 Desember): 71–78.</w:t>
      </w:r>
      <w:r>
        <w:fldChar w:fldCharType="end"/>
      </w:r>
    </w:p>
  </w:footnote>
  <w:footnote w:id="14">
    <w:p w14:paraId="6D5C2212" w14:textId="77777777" w:rsidR="00823330" w:rsidRPr="000C0BA0" w:rsidRDefault="00823330" w:rsidP="00823330">
      <w:pPr>
        <w:pStyle w:val="FootnoteText"/>
        <w:rPr>
          <w:lang w:val="en-US"/>
        </w:rPr>
      </w:pPr>
      <w:r w:rsidRPr="00552667">
        <w:rPr>
          <w:rStyle w:val="FootnoteReference"/>
        </w:rPr>
        <w:footnoteRef/>
      </w:r>
      <w:r>
        <w:t xml:space="preserve"> </w:t>
      </w:r>
      <w:r>
        <w:fldChar w:fldCharType="begin"/>
      </w:r>
      <w:r>
        <w:instrText xml:space="preserve"> ADDIN ZOTERO_ITEM CSL_CITATION {"citationID":"XneeV5XE","properties":{"formattedCitation":"Fitrian Welfiandi, \\uc0\\u8220{}EKSEKUSI TERHADAP OBJEK JAMINAN FIDUSIA PASCA PUTUSAN MAHKAMAH KONSTITUSI NOMOR 18/PUU-XVII/2019 DAN BENTUK PERLINDUNGAN HUKUM TERHADAP DEBITUR,\\uc0\\u8221{} {\\i{}JISIP (Jurnal Ilmu Sosial Dan Pendidikan)} 6, no. 1 (January 4, 2022), https://doi.org/10.58258/jisip.v6i1.2742.","plainCitation":"Fitrian Welfiandi, “EKSEKUSI TERHADAP OBJEK JAMINAN FIDUSIA PASCA PUTUSAN MAHKAMAH KONSTITUSI NOMOR 18/PUU-XVII/2019 DAN BENTUK PERLINDUNGAN HUKUM TERHADAP DEBITUR,” JISIP (Jurnal Ilmu Sosial Dan Pendidikan) 6, no. 1 (January 4, 2022), https://doi.org/10.58258/jisip.v6i1.2742.","noteIndex":12},"citationItems":[{"id":15,"uris":["http://zotero.org/users/local/3lvjNiZ9/items/MLBU99PW"],"itemData":{"id":15,"type":"article-journal","abstract":"Fiduciary guarantee is a guarantee right for movable objects both tangible and intangible and immovable, especially buildings that cannot be encumbered with mortgage rights that remain in the possession of the Fiduciary Giver, as collateral for certain repayments that give priority to Fiduciary Recipients over other creditors. After the Constitutional Court Decision Number 18 / PUU-XVII / 2019 resulted in changes to the provisions of Article 15 paragraph (2), Article 15 paragraph (3), and Elucidation of Article 15 paragraph (3) UUJF, specifically changes to the interpretation of breach of fiduciary violations and executions. This thesis will discuss issues regarding the execution of fiduciary security objects after the Constitutional Court ruling No. 18 / PUU-XVII / 2019 and how the legal protection of debtors for arbitrary creditors' actions.Keywords: execution, fiduciary, debtor protection.","container-title":"JISIP (Jurnal Ilmu Sosial dan Pendidikan)","DOI":"10.58258/jisip.v6i1.2742","ISSN":"2656-6753","issue":"1","language":"en","license":"Copyright (c) 2022 Fitrian Welfiandi","note":"number: 1","source":"ejournal.mandalanursa.org","title":"EKSEKUSI TERHADAP OBJEK JAMINAN FIDUSIA PASCA PUTUSAN MAHKAMAH KONSTITUSI NOMOR 18/PUU-XVII/2019 DAN BENTUK PERLINDUNGAN HUKUM TERHADAP DEBITUR","URL":"https://ejournal.mandalanursa.org/index.php/JISIP/article/view/2742","volume":"6","author":[{"family":"Welfiandi","given":"Fitrian"}],"accessed":{"date-parts":[["2023",12,17]]},"issued":{"date-parts":[["2022",1,4]]}}}],"schema":"https://github.com/citation-style-language/schema/raw/master/csl-citation.json"} </w:instrText>
      </w:r>
      <w:r>
        <w:fldChar w:fldCharType="separate"/>
      </w:r>
      <w:proofErr w:type="spellStart"/>
      <w:r w:rsidRPr="003D3269">
        <w:rPr>
          <w:rFonts w:ascii="Calibri" w:hAnsi="Calibri" w:cs="Calibri"/>
          <w:kern w:val="0"/>
          <w:szCs w:val="24"/>
        </w:rPr>
        <w:t>Fitrian</w:t>
      </w:r>
      <w:proofErr w:type="spellEnd"/>
      <w:r w:rsidRPr="003D3269">
        <w:rPr>
          <w:rFonts w:ascii="Calibri" w:hAnsi="Calibri" w:cs="Calibri"/>
          <w:kern w:val="0"/>
          <w:szCs w:val="24"/>
        </w:rPr>
        <w:t xml:space="preserve"> </w:t>
      </w:r>
      <w:proofErr w:type="spellStart"/>
      <w:r w:rsidRPr="003D3269">
        <w:rPr>
          <w:rFonts w:ascii="Calibri" w:hAnsi="Calibri" w:cs="Calibri"/>
          <w:kern w:val="0"/>
          <w:szCs w:val="24"/>
        </w:rPr>
        <w:t>Welfiandi</w:t>
      </w:r>
      <w:proofErr w:type="spellEnd"/>
      <w:r w:rsidRPr="003D3269">
        <w:rPr>
          <w:rFonts w:ascii="Calibri" w:hAnsi="Calibri" w:cs="Calibri"/>
          <w:kern w:val="0"/>
          <w:szCs w:val="24"/>
        </w:rPr>
        <w:t xml:space="preserve">, “EKSEKUSI TERHADAP OBJEK JAMINAN FIDUSIA PASCA PUTUSAN MAHKAMAH KONSTITUSI NOMOR 18/PUU-XVII/2019 DAN BENTUK PERLINDUNGAN HUKUM TERHADAP DEBITUR,” </w:t>
      </w:r>
      <w:r w:rsidRPr="003D3269">
        <w:rPr>
          <w:rFonts w:ascii="Calibri" w:hAnsi="Calibri" w:cs="Calibri"/>
          <w:i/>
          <w:iCs/>
          <w:kern w:val="0"/>
          <w:szCs w:val="24"/>
        </w:rPr>
        <w:t>JISIP (</w:t>
      </w:r>
      <w:proofErr w:type="spellStart"/>
      <w:r w:rsidRPr="003D3269">
        <w:rPr>
          <w:rFonts w:ascii="Calibri" w:hAnsi="Calibri" w:cs="Calibri"/>
          <w:i/>
          <w:iCs/>
          <w:kern w:val="0"/>
          <w:szCs w:val="24"/>
        </w:rPr>
        <w:t>Jurnal</w:t>
      </w:r>
      <w:proofErr w:type="spellEnd"/>
      <w:r w:rsidRPr="003D3269">
        <w:rPr>
          <w:rFonts w:ascii="Calibri" w:hAnsi="Calibri" w:cs="Calibri"/>
          <w:i/>
          <w:iCs/>
          <w:kern w:val="0"/>
          <w:szCs w:val="24"/>
        </w:rPr>
        <w:t xml:space="preserve"> </w:t>
      </w:r>
      <w:proofErr w:type="spellStart"/>
      <w:r w:rsidRPr="003D3269">
        <w:rPr>
          <w:rFonts w:ascii="Calibri" w:hAnsi="Calibri" w:cs="Calibri"/>
          <w:i/>
          <w:iCs/>
          <w:kern w:val="0"/>
          <w:szCs w:val="24"/>
        </w:rPr>
        <w:t>Ilmu</w:t>
      </w:r>
      <w:proofErr w:type="spellEnd"/>
      <w:r w:rsidRPr="003D3269">
        <w:rPr>
          <w:rFonts w:ascii="Calibri" w:hAnsi="Calibri" w:cs="Calibri"/>
          <w:i/>
          <w:iCs/>
          <w:kern w:val="0"/>
          <w:szCs w:val="24"/>
        </w:rPr>
        <w:t xml:space="preserve"> Sosial Dan Pendidikan)</w:t>
      </w:r>
      <w:r w:rsidRPr="003D3269">
        <w:rPr>
          <w:rFonts w:ascii="Calibri" w:hAnsi="Calibri" w:cs="Calibri"/>
          <w:kern w:val="0"/>
          <w:szCs w:val="24"/>
        </w:rPr>
        <w:t xml:space="preserve"> 6, no. 1 (January 4, 2022), https://doi.org/10.58258/jisip.v6i1.2742.</w:t>
      </w:r>
      <w:r>
        <w:fldChar w:fldCharType="end"/>
      </w:r>
    </w:p>
  </w:footnote>
  <w:footnote w:id="15">
    <w:p w14:paraId="6997BBDC" w14:textId="0ABFF06A" w:rsidR="007E6ED8" w:rsidRPr="007E6ED8" w:rsidRDefault="007E6ED8">
      <w:pPr>
        <w:pStyle w:val="FootnoteText"/>
        <w:rPr>
          <w:lang w:val="en-US"/>
        </w:rPr>
      </w:pPr>
      <w:r>
        <w:rPr>
          <w:rStyle w:val="FootnoteReference"/>
        </w:rPr>
        <w:footnoteRef/>
      </w:r>
      <w:r>
        <w:t xml:space="preserve"> </w:t>
      </w:r>
      <w:r>
        <w:fldChar w:fldCharType="begin"/>
      </w:r>
      <w:r w:rsidR="00932422">
        <w:instrText xml:space="preserve"> ADDIN ZOTERO_ITEM CSL_CITATION {"citationID":"uyBZmqjh","properties":{"formattedCitation":"Polri, \\uc0\\u8220{}Peraturan Kapolri Nomor 8 Tahun 2011 Tentang Pengamanan Eksekusi Jaminan Fidusia,\\uc0\\u8221{} 2011, 1\\uc0\\u8211{}11.","plainCitation":"Polri, “Peraturan Kapolri Nomor 8 Tahun 2011 Tentang Pengamanan Eksekusi Jaminan Fidusia,” 2011, 1–11.","noteIndex":14},"citationItems":[{"id":43,"uris":["http://zotero.org/users/local/3lvjNiZ9/items/5JDWMUVQ"],"itemData":{"id":43,"type":"article-journal","page":"1-11","title":"Peraturan Kapolri Nomor 8 Tahun 2011 Tentang Pengamanan Eksekusi Jaminan Fidusia","author":[{"family":"","given":"Polri"}],"issued":{"date-parts":[["2011"]]}}}],"schema":"https://github.com/citation-style-language/schema/raw/master/csl-citation.json"} </w:instrText>
      </w:r>
      <w:r>
        <w:fldChar w:fldCharType="separate"/>
      </w:r>
      <w:proofErr w:type="spellStart"/>
      <w:r w:rsidR="003D5650" w:rsidRPr="003D5650">
        <w:rPr>
          <w:rFonts w:ascii="Calibri" w:hAnsi="Calibri" w:cs="Calibri"/>
          <w:kern w:val="0"/>
          <w:szCs w:val="24"/>
        </w:rPr>
        <w:t>Polri</w:t>
      </w:r>
      <w:proofErr w:type="spellEnd"/>
      <w:r w:rsidR="003D5650" w:rsidRPr="003D5650">
        <w:rPr>
          <w:rFonts w:ascii="Calibri" w:hAnsi="Calibri" w:cs="Calibri"/>
          <w:kern w:val="0"/>
          <w:szCs w:val="24"/>
        </w:rPr>
        <w:t>, “</w:t>
      </w:r>
      <w:proofErr w:type="spellStart"/>
      <w:r w:rsidR="003D5650" w:rsidRPr="003D5650">
        <w:rPr>
          <w:rFonts w:ascii="Calibri" w:hAnsi="Calibri" w:cs="Calibri"/>
          <w:kern w:val="0"/>
          <w:szCs w:val="24"/>
        </w:rPr>
        <w:t>Peraturan</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Kapolri</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Nomor</w:t>
      </w:r>
      <w:proofErr w:type="spellEnd"/>
      <w:r w:rsidR="003D5650" w:rsidRPr="003D5650">
        <w:rPr>
          <w:rFonts w:ascii="Calibri" w:hAnsi="Calibri" w:cs="Calibri"/>
          <w:kern w:val="0"/>
          <w:szCs w:val="24"/>
        </w:rPr>
        <w:t xml:space="preserve"> 8 </w:t>
      </w:r>
      <w:proofErr w:type="spellStart"/>
      <w:r w:rsidR="003D5650" w:rsidRPr="003D5650">
        <w:rPr>
          <w:rFonts w:ascii="Calibri" w:hAnsi="Calibri" w:cs="Calibri"/>
          <w:kern w:val="0"/>
          <w:szCs w:val="24"/>
        </w:rPr>
        <w:t>Tahun</w:t>
      </w:r>
      <w:proofErr w:type="spellEnd"/>
      <w:r w:rsidR="003D5650" w:rsidRPr="003D5650">
        <w:rPr>
          <w:rFonts w:ascii="Calibri" w:hAnsi="Calibri" w:cs="Calibri"/>
          <w:kern w:val="0"/>
          <w:szCs w:val="24"/>
        </w:rPr>
        <w:t xml:space="preserve"> 2011 </w:t>
      </w:r>
      <w:proofErr w:type="spellStart"/>
      <w:r w:rsidR="003D5650" w:rsidRPr="003D5650">
        <w:rPr>
          <w:rFonts w:ascii="Calibri" w:hAnsi="Calibri" w:cs="Calibri"/>
          <w:kern w:val="0"/>
          <w:szCs w:val="24"/>
        </w:rPr>
        <w:t>Tentang</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Pengamanan</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Eksekusi</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Jaminan</w:t>
      </w:r>
      <w:proofErr w:type="spellEnd"/>
      <w:r w:rsidR="003D5650" w:rsidRPr="003D5650">
        <w:rPr>
          <w:rFonts w:ascii="Calibri" w:hAnsi="Calibri" w:cs="Calibri"/>
          <w:kern w:val="0"/>
          <w:szCs w:val="24"/>
        </w:rPr>
        <w:t xml:space="preserve"> </w:t>
      </w:r>
      <w:proofErr w:type="spellStart"/>
      <w:r w:rsidR="003D5650" w:rsidRPr="003D5650">
        <w:rPr>
          <w:rFonts w:ascii="Calibri" w:hAnsi="Calibri" w:cs="Calibri"/>
          <w:kern w:val="0"/>
          <w:szCs w:val="24"/>
        </w:rPr>
        <w:t>Fidusia</w:t>
      </w:r>
      <w:proofErr w:type="spellEnd"/>
      <w:r w:rsidR="003D5650" w:rsidRPr="003D5650">
        <w:rPr>
          <w:rFonts w:ascii="Calibri" w:hAnsi="Calibri" w:cs="Calibri"/>
          <w:kern w:val="0"/>
          <w:szCs w:val="24"/>
        </w:rPr>
        <w:t>,” 2011, 1–11.</w:t>
      </w:r>
      <w:r>
        <w:fldChar w:fldCharType="end"/>
      </w:r>
    </w:p>
  </w:footnote>
  <w:footnote w:id="16">
    <w:p w14:paraId="6C34372D" w14:textId="744EFB3C" w:rsidR="00076AA1" w:rsidRPr="00076AA1" w:rsidRDefault="00076AA1">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{"citationID":"1KxfrsN0","properties":{"formattedCitation":"Johannes Ibrahim Kosasih, Anak Agung Istri Agung, and Anak Agung Sagung Laksmani Dewi, \\uc0\\u8220{}Parate Eksekusi Pasca Putusan Mahkamah Kostitusi (MK) NO. 18/PUU-XVII/2019 Dan No: 02/PUU-XIX/2021 Terhadap Eksekusi Jaminan Fidusia Atas Lembaga Pembiayaan Leasin,\\uc0\\u8221{} {\\i{}Jurnal IUS Kajian Hukum Dan Keadilan} 10, no. 1 (April 24, 2022): 114\\uc0\\u8211{}35, https://doi.org/10.29303/ius.v10i1.971.","plainCitation":"Johannes Ibrahim Kosasih, Anak Agung Istri Agung, and Anak Agung Sagung Laksmani Dewi, “Parate Eksekusi Pasca Putusan Mahkamah Kostitusi (MK) NO. 18/PUU-XVII/2019 Dan No: 02/PUU-XIX/2021 Terhadap Eksekusi Jaminan Fidusia Atas Lembaga Pembiayaan Leasin,” Jurnal IUS Kajian Hukum Dan Keadilan 10, no. 1 (April 24, 2022): 114–35, https://doi.org/10.29303/ius.v10i1.971.","noteIndex":15},"citationItems":[{"id":23,"uris":["http://zotero.org/users/local/3lvjNiZ9/items/HQTPY8TD"],"itemData":{"id":23,"type":"article-journal","abstract":"Putusan Mahkamah Konstitusi No. 18/PUU-XVII/2019 tanggal 06 Januari 2020, merupakan sebuah putusan fenomenal yang menghapus kelembagaan parate eksekusi sebagaimana tercantum dalam Pasal 15 Ayat (2) dan (3) Undang-Undang Nomor 42 Tahun 1999 tentang Jaminan Fidusia. Terhadap putusan ini diajukan kembali oleh pihak ketiga dan diputus oleh Mahkamah Konstitusi dengan putusan No. 2/PUU-XIX/2021 tanggal 31 Agustus 2021. Kedua putusan tersebut mengeliminasi kedudukan parate eksekusi dalam Undang-Undang Nomor 42 Tahun 1999 tentang Jaminan Fidusia. Parate eksekusi merupakan legalitas yang dimiliki lessor dalam upaya melakukan eksekusi bila lessee wanprestasi. Kedudukan parate eksekusi sebagai pranata hukum jaminan pasca putusan Mahkamah Konstitusi merupakan permasalahan hukum dalam penarikan jaminan, yang secara yuridis belum dimiliki oleh lessee. Dari permasalahan diatas, maka tujuan dalam penulisan ini hendak mengkaji kedudukan parate eksekusi pasca putusan Mahkamah Konstitusi No. 18/PUUXVII/2019 dan No. 2/PUU-XIX/2021 terhadap hak eksekutorial lessor berdasarkan pranata parate ekekusi. Metode penelitian yang digunakan dalam penulisan ini adalah yuridis normatif dengan pendekatan perundang-undangan (statute approach) dan konseptual (conceptual approach). Hasil penelitian menunjukan bahwa kedudukan parate eksekusi sebagaimana diatur Pasal 15 Ayat (2) dan (3) UndangUndang Nomor 42 Tahun 1999 tentang Jaminan Fidusia telah dieliminasi dan eksekusi jaminan harus berdasarkan kesepakatan dengan debitur yang telah mengakui wanprestasi atau mengajukan permohonan pelaksanaan eksekusi kepada Pengadilan Negeri.","container-title":"Jurnal IUS Kajian Hukum dan Keadilan","DOI":"10.29303/ius.v10i1.971","ISSN":"2477-815X, 2303-3827","issue":"1","journalAbbreviation":"JurnalIUS-KHK","page":"114-135","source":"DOI.org (Crossref)","title":"Parate Eksekusi Pasca Putusan Mahkamah Kostitusi (MK) NO. 18/PUU-XVII/2019 Dan No: 02/PUU-XIX/2021 Terhadap Eksekusi Jaminan Fidusia Atas Lembaga Pembiayaan Leasin","title-short":"Parate Eksekusi Pasca Putusan Mahkamah Kostitusi (MK) NO. 18/PUU-XVII/2019 Dan No","volume":"10","author":[{"family":"Kosasih","given":"Johannes Ibrahim"},{"family":"Istri Agung","given":"Anak Agung"},{"family":"Dewi","given":"Anak Agung Sagung Laksmani"}],"issued":{"date-parts":[["2022",4,24]]}}}],"schema":"https://github.com/citation-style-language/schema/raw/master/csl-citation.json"} </w:instrText>
      </w:r>
      <w:r>
        <w:fldChar w:fldCharType="separate"/>
      </w:r>
      <w:r w:rsidR="003D3269" w:rsidRPr="003D3269">
        <w:rPr>
          <w:rFonts w:ascii="Calibri" w:hAnsi="Calibri" w:cs="Calibri"/>
          <w:kern w:val="0"/>
          <w:szCs w:val="24"/>
        </w:rPr>
        <w:t xml:space="preserve">Johannes Ibrahim Kosasih, Anak Agung Istri Agung, and Anak Agung Sagung Laksmani Dewi, “Parate Eksekusi Pasca Putusan Mahkamah Kostitusi (MK) NO. 18/PUU-XVII/2019 Dan No: 02/PUU-XIX/2021 Terhadap Eksekusi Jaminan Fidusia Atas Lembaga Pembiayaan Leasin,” </w:t>
      </w:r>
      <w:r w:rsidR="003D3269" w:rsidRPr="003D3269">
        <w:rPr>
          <w:rFonts w:ascii="Calibri" w:hAnsi="Calibri" w:cs="Calibri"/>
          <w:i/>
          <w:iCs/>
          <w:kern w:val="0"/>
          <w:szCs w:val="24"/>
        </w:rPr>
        <w:t>Jurnal IUS Kajian Hukum Dan Keadilan</w:t>
      </w:r>
      <w:r w:rsidR="003D3269" w:rsidRPr="003D3269">
        <w:rPr>
          <w:rFonts w:ascii="Calibri" w:hAnsi="Calibri" w:cs="Calibri"/>
          <w:kern w:val="0"/>
          <w:szCs w:val="24"/>
        </w:rPr>
        <w:t xml:space="preserve"> 10, no. 1 (April 24, 2022): 114–35, https://doi.org/10.29303/ius.v10i1.971.</w:t>
      </w:r>
      <w:r>
        <w:fldChar w:fldCharType="end"/>
      </w:r>
    </w:p>
  </w:footnote>
  <w:footnote w:id="17">
    <w:p w14:paraId="16459E3C" w14:textId="7300B159" w:rsidR="003D5650" w:rsidRPr="003D5650" w:rsidRDefault="003D5650">
      <w:pPr>
        <w:pStyle w:val="FootnoteText"/>
        <w:rPr>
          <w:lang w:val="en-US"/>
        </w:rPr>
      </w:pPr>
      <w:r>
        <w:rPr>
          <w:rStyle w:val="FootnoteReference"/>
        </w:rPr>
        <w:footnoteRef/>
      </w:r>
      <w:r>
        <w:t xml:space="preserve"> </w:t>
      </w:r>
      <w:r>
        <w:fldChar w:fldCharType="begin"/>
      </w:r>
      <w:r w:rsidR="00932422">
        <w:instrText xml:space="preserve"> ADDIN ZOTERO_ITEM CSL_CITATION {"citationID":"3dwR2Y9W","properties":{"formattedCitation":"Fahmi Ali Ramdhani, \\uc0\\u8220{}PERLINDUNGAN HUKUM KONSUMEN TERHADAP PENARIKAN DAN PENYITAAN OBJEK JAMINAN FIDUCIA YANG TIDAK DIDAFTARKAN KREDITUR,\\uc0\\u8221{} {\\i{}ADLIYA: Jurnal Hukum Dan Kemanusiaan} 15, no. 1 (March 31, 2021): 51\\uc0\\u8211{}66, https://doi.org/10.15575/adliya.v15i1.9939.","plainCitation":"Fahmi Ali Ramdhani, “PERLINDUNGAN HUKUM KONSUMEN TERHADAP PENARIKAN DAN PENYITAAN OBJEK JAMINAN FIDUCIA YANG TIDAK DIDAFTARKAN KREDITUR,” ADLIYA: Jurnal Hukum Dan Kemanusiaan 15, no. 1 (March 31, 2021): 51–66, https://doi.org/10.15575/adliya.v15i1.9939.","noteIndex":16},"citationItems":[{"id":53,"uris":["http://zotero.org/users/local/3lvjNiZ9/items/LX3K72R9"],"itemData":{"id":53,"type":"article-journal","abstract":"The facts on the ground are that there are often problems due to legal consequences due to the non-registration of fiduciary guarantees by financial institutions. This study aims to determine consumer legal protection measures when fiduciary collateral is not registered at the Fiduciary Registration Office. This study also aims to examine the legal consequences of the withdrawal and confiscation of fiduciary collateral objects that are not registered at the Fiducia Registration Office by PT. Suzuki Finance Indonesia. This study uses a normative juridical method with descriptive-analytical research specifications through a statutory approach. Based on this study, it is concluded that consumer dispute resolution can be pursued through the court or outside the court based on the decision of the disputing parties. One of the legal protections and obligations in using fiduciary guarantees for finance companies was the first issuance of PP No.21 of 2015, Permenkeu No. 130 / PMK.010 / 2012, and POJK 29/2014. The legal consequence of not registering the object of the fiduciary guarantee is that the fiduciary guarantee has not been born so that the legal consequences attached to the fiduciary guarantee do not apply.","container-title":"ADLIYA: Jurnal Hukum dan Kemanusiaan","DOI":"10.15575/adliya.v15i1.9939","ISSN":"2657-2125, 1978-8312","issue":"1","journalAbbreviation":"ADLIYA: J. huk dan kemanusiaan","page":"51-66","source":"DOI.org (Crossref)","title":"PERLINDUNGAN HUKUM KONSUMEN TERHADAP PENARIKAN DAN PENYITAAN OBJEK JAMINAN FIDUCIA YANG TIDAK DIDAFTARKAN KREDITUR","volume":"15","author":[{"family":"Ramdhani","given":"Fahmi Ali"}],"issued":{"date-parts":[["2021",3,31]]}}}],"schema":"https://github.com/citation-style-language/schema/raw/master/csl-citation.json"} </w:instrText>
      </w:r>
      <w:r>
        <w:fldChar w:fldCharType="separate"/>
      </w:r>
      <w:r w:rsidRPr="003D5650">
        <w:rPr>
          <w:rFonts w:ascii="Calibri" w:hAnsi="Calibri" w:cs="Calibri"/>
          <w:kern w:val="0"/>
          <w:szCs w:val="24"/>
        </w:rPr>
        <w:t xml:space="preserve">Fahmi Ali Ramdhani, “PERLINDUNGAN HUKUM KONSUMEN TERHADAP PENARIKAN DAN PENYITAAN OBJEK JAMINAN FIDUCIA YANG TIDAK DIDAFTARKAN KREDITUR,” </w:t>
      </w:r>
      <w:r w:rsidRPr="003D5650">
        <w:rPr>
          <w:rFonts w:ascii="Calibri" w:hAnsi="Calibri" w:cs="Calibri"/>
          <w:i/>
          <w:iCs/>
          <w:kern w:val="0"/>
          <w:szCs w:val="24"/>
        </w:rPr>
        <w:t>ADLIYA: Jurnal Hukum Dan Kemanusiaan</w:t>
      </w:r>
      <w:r w:rsidRPr="003D5650">
        <w:rPr>
          <w:rFonts w:ascii="Calibri" w:hAnsi="Calibri" w:cs="Calibri"/>
          <w:kern w:val="0"/>
          <w:szCs w:val="24"/>
        </w:rPr>
        <w:t xml:space="preserve"> 15, no. 1 (March 31, 2021): 51–66, https://doi.org/10.15575/adliya.v15i1.9939.</w:t>
      </w:r>
      <w:r>
        <w:fldChar w:fldCharType="end"/>
      </w:r>
    </w:p>
  </w:footnote>
  <w:footnote w:id="18">
    <w:p w14:paraId="02C87FC7" w14:textId="36DA8501" w:rsidR="00CC6B7A" w:rsidRPr="00124F73" w:rsidRDefault="00CC6B7A">
      <w:pPr>
        <w:pStyle w:val="FootnoteText"/>
        <w:rPr>
          <w:lang w:val="de-DE"/>
        </w:rPr>
      </w:pPr>
      <w:r w:rsidRPr="00552667">
        <w:rPr>
          <w:rStyle w:val="FootnoteReference"/>
        </w:rPr>
        <w:footnoteRef/>
      </w:r>
      <w:r w:rsidRPr="00124F73">
        <w:rPr>
          <w:lang w:val="de-DE"/>
        </w:rPr>
        <w:t xml:space="preserve"> </w:t>
      </w:r>
      <w:r>
        <w:fldChar w:fldCharType="begin"/>
      </w:r>
      <w:r w:rsidR="00932422">
        <w:rPr>
          <w:lang w:val="de-DE"/>
        </w:rPr>
        <w:instrText xml:space="preserve"> ADDIN ZOTERO_ITEM CSL_CITATION {"citationID":"GQH7YF1M","properties":{"formattedCitation":"Fikrotul Jadidah, \\uc0\\u8220{}PERLINDUNGAN HUKUM BAGI KREDITUR TERHADAP PELAKSANAAN EKSEKUSI JAMINAN FIDUSIA (ANALISIS PUTUSAN MAHKAMAH KONSTITUSI NO 18/PUU-XVII/2019),\\uc0\\u8221{} {\\i{}IBLAM LAW REVIEW} 2, no. 2 (May 30, 2022): 17\\uc0\\u8211{}37, https://doi.org/10.52249/ilr.v2i2.69.","plainCitation":"Fikrotul Jadidah, “PERLINDUNGAN HUKUM BAGI KREDITUR TERHADAP PELAKSANAAN EKSEKUSI JAMINAN FIDUSIA (ANALISIS PUTUSAN MAHKAMAH KONSTITUSI NO 18/PUU-XVII/2019),” IBLAM LAW REVIEW 2, no. 2 (May 30, 2022): 17–37, https://doi.org/10.52249/ilr.v2i2.69.","noteIndex":17},"citationItems":[{"id":21,"uris":["http://zotero.org/users/local/3lvjNiZ9/items/U6GPEZMQ"],"itemData":{"id":21,"type":"article-journal","abstract":"Terbitnya putusan MK No 18/PUU-XVII/2019 didasari adanya permohonan uji materiil terhadap Pasal 15 Ayat (2) dan Ayat (3) UU No 42 Tahun 1999 tentang Jaminan Fidusia yang memberikan perubahan hukum baru mengenai pengaturan dan pelaksanaan tata-cara eksekusi objek jaminan fidusia sebelum dan sesudah adanya putusan MK No 18/PUU-XVII/2019 dan bentuk perlindungan hukum bagi kreditur apabila debitur melakukan cidera janji  (wanprestasi). Metode penelitian yang digunakan adalah yuridis normatif dengan spesifikasi penelitian deskriptif analitis. Dari hasil penelitian ini diperoleh kesimpulan yaitu pengaturan eksekusi objek jaminan fidusia sebelumnya diatur di dalam pasal 29 - 34 Undang-Undang No 42 Tahun 1999 tentang Jaminan Fidusia, namun setelah adanya uji materiil terhadap Undang-Undang tersebut maka pengaturan dan pelaksanaannya sesuai dengan Putusan MK No 18/PUU-XVII/2019 Dan Peraturan Kepolisian Negara RI No 8 Tahun 2011 tentang Pengamanan Eksekusi Jaminan Fidusia. Dan bentuk perlindungan hukum bagi kreditur apabila debitur wanprestasi yaitu pengajuan permohonan pengangkatan penangguhan atas hak eksekusinya sesuai mekanisme yang berlaku pada Undang-Undang No 37 Tahun 2004 tentang Kepailitan dan Penundaan Kewajiban Pembayaran Utang. Saran dari penelitian ini adalah melakukan perubahan terhadap isi Undang-Undang No 42 Tahun 1999 tentang Jaminan Fidusia, selain itu melakukan penambahan atau mengubah klausul akta notaris jaminan fidusia dengan mengakomodir syarat-syarat dalam putusan MK No 18/PUU-XVII/2019 serta memanfaatkan mekanisme gugatan sederhana guna mengefisiensi proses penyelesaian perkara.","container-title":"IBLAM LAW REVIEW","DOI":"10.52249/ilr.v2i2.69","ISSN":"2775-3174, 2775-4146","issue":"2","journalAbbreviation":"ILR","page":"17-37","source":"DOI.org (Crossref)","title":"PERLINDUNGAN HUKUM BAGI KREDITUR TERHADAP PELAKSANAAN EKSEKUSI JAMINAN FIDUSIA (ANALISIS PUTUSAN MAHKAMAH KONSTITUSI NO 18/PUU-XVII/2019)","volume":"2","author":[{"family":"Jadidah","given":"Fikrotul"}],"issued":{"date-parts":[["2022",5,30]]}}}],"schema":"https://github.com/citation-style-language/schema/raw/master/csl-citation.json"} </w:instrText>
      </w:r>
      <w:r>
        <w:fldChar w:fldCharType="separate"/>
      </w:r>
      <w:r w:rsidR="003D3269" w:rsidRPr="00124F73">
        <w:rPr>
          <w:rFonts w:ascii="Calibri" w:hAnsi="Calibri" w:cs="Calibri"/>
          <w:kern w:val="0"/>
          <w:szCs w:val="24"/>
          <w:lang w:val="de-DE"/>
        </w:rPr>
        <w:t xml:space="preserve">Fikrotul Jadidah, “PERLINDUNGAN HUKUM BAGI KREDITUR TERHADAP PELAKSANAAN EKSEKUSI JAMINAN FIDUSIA (ANALISIS PUTUSAN MAHKAMAH KONSTITUSI NO 18/PUU-XVII/2019),” </w:t>
      </w:r>
      <w:r w:rsidR="003D3269" w:rsidRPr="00124F73">
        <w:rPr>
          <w:rFonts w:ascii="Calibri" w:hAnsi="Calibri" w:cs="Calibri"/>
          <w:i/>
          <w:iCs/>
          <w:kern w:val="0"/>
          <w:szCs w:val="24"/>
          <w:lang w:val="de-DE"/>
        </w:rPr>
        <w:t>IBLAM LAW REVIEW</w:t>
      </w:r>
      <w:r w:rsidR="003D3269" w:rsidRPr="00124F73">
        <w:rPr>
          <w:rFonts w:ascii="Calibri" w:hAnsi="Calibri" w:cs="Calibri"/>
          <w:kern w:val="0"/>
          <w:szCs w:val="24"/>
          <w:lang w:val="de-DE"/>
        </w:rPr>
        <w:t xml:space="preserve"> 2, no. 2 (May 30, 2022): 17–37, https://doi.org/10.52249/ilr.v2i2.69.</w:t>
      </w:r>
      <w:r>
        <w:fldChar w:fldCharType="end"/>
      </w:r>
    </w:p>
  </w:footnote>
  <w:footnote w:id="19">
    <w:p w14:paraId="0F166F53" w14:textId="445E5B95" w:rsidR="00683113" w:rsidRPr="00683113" w:rsidRDefault="00683113">
      <w:pPr>
        <w:pStyle w:val="FootnoteText"/>
        <w:rPr>
          <w:lang w:val="de-DE"/>
        </w:rPr>
      </w:pPr>
      <w:r w:rsidRPr="00552667">
        <w:rPr>
          <w:rStyle w:val="FootnoteReference"/>
        </w:rPr>
        <w:footnoteRef/>
      </w:r>
      <w:r w:rsidRPr="00683113">
        <w:rPr>
          <w:lang w:val="de-DE"/>
        </w:rPr>
        <w:t xml:space="preserve"> </w:t>
      </w:r>
      <w:r>
        <w:fldChar w:fldCharType="begin"/>
      </w:r>
      <w:r w:rsidR="00932422">
        <w:rPr>
          <w:lang w:val="de-DE"/>
        </w:rPr>
        <w:instrText xml:space="preserve"> ADDIN ZOTERO_ITEM CSL_CITATION {"citationID":"eap5U0fw","properties":{"formattedCitation":"Dicky Bagus Sanjaya, \\uc0\\u8220{}ANALISIS YURIDIS TERHADAP PUTUSAN MAHKAMAH KONSTITUSI 2/PUU-XIX/2021 BAGI PENERIMA JAMINAN FIDUSIA (KREDITUR),\\uc0\\u8221{} n.d.","plainCitation":"Dicky Bagus Sanjaya, “ANALISIS YURIDIS TERHADAP PUTUSAN MAHKAMAH KONSTITUSI 2/PUU-XIX/2021 BAGI PENERIMA JAMINAN FIDUSIA (KREDITUR),” n.d.","noteIndex":18},"citationItems":[{"id":42,"uris":["http://zotero.org/users/local/3lvjNiZ9/items/NPSDIHKC"],"itemData":{"id":42,"type":"article-journal","language":"id","source":"Zotero","title":"ANALISIS YURIDIS TERHADAP PUTUSAN MAHKAMAH KONSTITUSI 2/PUU-XIX/2021 BAGI PENERIMA JAMINAN FIDUSIA (KREDITUR)","author":[{"family":"Sanjaya","given":"Dicky Bagus"}]}}],"schema":"https://github.com/citation-style-language/schema/raw/master/csl-citation.json"} </w:instrText>
      </w:r>
      <w:r>
        <w:fldChar w:fldCharType="separate"/>
      </w:r>
      <w:r w:rsidRPr="00683113">
        <w:rPr>
          <w:rFonts w:ascii="Calibri" w:hAnsi="Calibri" w:cs="Calibri"/>
          <w:kern w:val="0"/>
          <w:szCs w:val="24"/>
          <w:lang w:val="de-DE"/>
        </w:rPr>
        <w:t>Dicky Bagus Sanjaya, “ANALISIS YURIDIS TERHADAP PUTUSAN MAHKAMAH KONSTITUSI 2/PUU-XIX/2021 BAGI PENERIMA JAMINAN FIDUSIA (KREDITUR),” n.d.</w:t>
      </w:r>
      <w:r>
        <w:fldChar w:fldCharType="end"/>
      </w:r>
    </w:p>
  </w:footnote>
  <w:footnote w:id="20">
    <w:p w14:paraId="5F8D81C2" w14:textId="6D7F5B93" w:rsidR="00076AA1" w:rsidRPr="00076AA1" w:rsidRDefault="00076AA1">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{"citationID":"gUZxJiD7","properties":{"formattedCitation":"Sharen Sindra, \\uc0\\u8220{}Kepastian Hukum Eksekusi Objek Jaminan Fidusia,\\uc0\\u8221{} {\\i{}Binamulia Hukum} 9, no. 1 (July 17, 2020): 45\\uc0\\u8211{}56, https://doi.org/10.37893/jbh.v9i1.101.","plainCitation":"Sharen Sindra, “Kepastian Hukum Eksekusi Objek Jaminan Fidusia,” Binamulia Hukum 9, no. 1 (July 17, 2020): 45–56, https://doi.org/10.37893/jbh.v9i1.101.","noteIndex":19},"citationItems":[{"id":25,"uris":["http://zotero.org/users/local/3lvjNiZ9/items/2BL67I5Y"],"itemData":{"id":25,"type":"article-journal","abstract":"Kreditur dalam memberikan kredit harus memperhatikan barang jaminan. Barang jaminannya terdiri dari barang yang dapat dipindahkan dan tidak dapat dipindahkan. Untuk sesuatu barang yang dapat dipindahkan yaitu Jaminan Fidusia. Benda jaminan Fidusia masih terdapat di pihak yang memiliki hutang, melainkan kewenangan untuk menguasai sudah diserahkan kepada pemberi hutang. Apabila orang yang meminjam tersebut tidak membayar maka, benda tersebut dilelang oleh kreditur. Metode yang dipakai dalam penulisan ini adalah normatif dan menggunakan sumber dari undang-undang tentang fidusia dan studi kepustakaan. Dalam hasil penelitian, terdapat kreditur yang berbentuk lembaga pembiayaan/finance yang melakukan penjualan melalui penjualan di bawah tangan. Oleh sebab itu, diperlukan Kepastian hukum untuk menjadi solusi yang bertujuan meminimalisir adanya permasalahan dalam jaminan objek fidusia.","container-title":"Binamulia Hukum","DOI":"10.37893/jbh.v9i1.101","ISSN":"2656-856X, 1410-0088","issue":"1","journalAbbreviation":"JBH","language":"id","page":"45-56","source":"DOI.org (Crossref)","title":"Kepastian Hukum Eksekusi Objek Jaminan Fidusia","volume":"9","author":[{"family":"Sindra","given":"Sharen"}],"issued":{"date-parts":[["2020",7,17]]}}}],"schema":"https://github.com/citation-style-language/schema/raw/master/csl-citation.json"} </w:instrText>
      </w:r>
      <w:r>
        <w:fldChar w:fldCharType="separate"/>
      </w:r>
      <w:r w:rsidR="003D3269" w:rsidRPr="003D3269">
        <w:rPr>
          <w:rFonts w:ascii="Calibri" w:hAnsi="Calibri" w:cs="Calibri"/>
          <w:kern w:val="0"/>
          <w:szCs w:val="24"/>
        </w:rPr>
        <w:t xml:space="preserve">Sharen Sindra, “Kepastian Hukum Eksekusi Objek Jaminan Fidusia,” </w:t>
      </w:r>
      <w:r w:rsidR="003D3269" w:rsidRPr="003D3269">
        <w:rPr>
          <w:rFonts w:ascii="Calibri" w:hAnsi="Calibri" w:cs="Calibri"/>
          <w:i/>
          <w:iCs/>
          <w:kern w:val="0"/>
          <w:szCs w:val="24"/>
        </w:rPr>
        <w:t>Binamulia Hukum</w:t>
      </w:r>
      <w:r w:rsidR="003D3269" w:rsidRPr="003D3269">
        <w:rPr>
          <w:rFonts w:ascii="Calibri" w:hAnsi="Calibri" w:cs="Calibri"/>
          <w:kern w:val="0"/>
          <w:szCs w:val="24"/>
        </w:rPr>
        <w:t xml:space="preserve"> 9, no. 1 (July 17, 2020): 45–56, https://doi.org/10.37893/jbh.v9i1.101.</w:t>
      </w:r>
      <w:r>
        <w:fldChar w:fldCharType="end"/>
      </w:r>
    </w:p>
  </w:footnote>
  <w:footnote w:id="21">
    <w:p w14:paraId="2E044161" w14:textId="7334EE49" w:rsidR="00932422" w:rsidRPr="00932422" w:rsidRDefault="00932422">
      <w:pPr>
        <w:pStyle w:val="FootnoteText"/>
        <w:rPr>
          <w:lang w:val="en-US"/>
        </w:rPr>
      </w:pPr>
      <w:r>
        <w:rPr>
          <w:rStyle w:val="FootnoteReference"/>
        </w:rPr>
        <w:footnoteRef/>
      </w:r>
      <w:r>
        <w:t xml:space="preserve"> </w:t>
      </w:r>
      <w:r>
        <w:fldChar w:fldCharType="begin"/>
      </w:r>
      <w:r>
        <w:instrText xml:space="preserve"> ADDIN ZOTERO_ITEM CSL_CITATION {"citationID":"CJUMrPg1","properties":{"formattedCitation":"Edy Hermanto and Sigit Irianto, \\uc0\\u8220{}PERJANJIAN PEMBIAYAAN KONSUMEN DENGAN JAMINAN FIDUSIA PADA PERUSAHAAN MULTIFINANCE,\\uc0\\u8221{} {\\i{}Notary Law Research} 1, no. 1 (December 29, 2020): 21, https://doi.org/10.56444/nlr.v1i1.1383.","plainCitation":"Edy Hermanto and Sigit Irianto, “PERJANJIAN PEMBIAYAAN KONSUMEN DENGAN JAMINAN FIDUSIA PADA PERUSAHAAN MULTIFINANCE,” Notary Law Research 1, no. 1 (December 29, 2020): 21, https://doi.org/10.56444/nlr.v1i1.1383.","noteIndex":20},"citationItems":[{"id":56,"uris":["http://zotero.org/users/local/3lvjNiZ9/items/87RKJBYC"],"itemData":{"id":56,"type":"article-journal","abstract":"Banyak perjanjian pembiayaan yang tidak didaftarkan oleh perusahaan finance dengan jaminana fidusia, hal ini bertentangan dengan UUJF yang mewajibkan pendaftaran fidusia. Pelaksanaan perjanjian pembiayaan dengan jaminan fidusia pada perusahaan multifinance meskipun dalam surat perjanjian pembiayaan konsumen menggunakan jaminan fidusia tetapi tidak dilaksanakan sesuai dengan ketentuan-ketentuan dalam UUJF, terutama ketentuan pendaftaran fidusia dan pembuatan akta tidak dengan akta notaris. Akibat hukum yang ditimbulkan adalah kreditur tidak bisa menikmati keuntungan-keuntungan dari ketentuan-ketentuan dalam undang-undang jaminan fidusia seperti misalnya hak preferen atau hak didahulukan, dan apabila ada seorang debitur yang melakukan wanprestasi maka kreditur tidak dapat langsung melakukan eksekusi terhadap jaminan fidusia namun harus melakukan atau mengajukan gugatan secara perdata ke pengadilan. Bentuk dan isi/kontruksi dari perjanjian pembiayaan dengan jaminan fidusia pada perusahaan multifinance berbentuk perjanjian standar yang dibuat/ disiapkan oleh pihak perusahaan multifinance. Permasalahan yang timbul dalam perjanjian pembiayaan konsumen dengan jaminan fidusia pada Perusahaan Multifinance adalah masalah keterlambatan pembayaran. Apabila keterlambatan pembayaran sudah mencapai customer over due (lebih dari 180 hari), maka dilakukan penyitaan sepeda motor, proses penyitaan itu sendiri dimulai dengan adanya surat perintah sita. Penanganan terhadap perjanjian pembiayaan konsumen dengan jaminan fidusia pada perusahaan multifinance yang bermasalah dilakukan dengan cara apabila terjadi objek fidusia tersebut ternyata dijual pada pihak ketiga atau dialihkan tanpa sepengetahuan finance, sedangkan pihak debitor maupun pihak ketiga mengakuinya, maka finance dengan dasar akta jaminan fidusia dapat memberikan somasi yang selanjutnya mempunyai daya paksa untuk menarik objek jaminan tersebut dan apabila perlu dapat meminta bantuan pihak kepolisian","container-title":"Notary Law Research","DOI":"10.56444/nlr.v1i1.1383","ISSN":"2722-287X","issue":"1","journalAbbreviation":"NLR","page":"21","source":"DOI.org (Crossref)","title":"PERJANJIAN PEMBIAYAAN KONSUMEN DENGAN JAMINAN FIDUSIA PADA PERUSAHAAN MULTIFINANCE","volume":"1","author":[{"family":"Hermanto","given":"Edy"},{"family":"Irianto","given":"Sigit"}],"issued":{"date-parts":[["2020",12,29]]}}}],"schema":"https://github.com/citation-style-language/schema/raw/master/csl-citation.json"} </w:instrText>
      </w:r>
      <w:r>
        <w:fldChar w:fldCharType="separate"/>
      </w:r>
      <w:r w:rsidRPr="00932422">
        <w:rPr>
          <w:rFonts w:ascii="Calibri" w:hAnsi="Calibri" w:cs="Calibri"/>
          <w:kern w:val="0"/>
          <w:szCs w:val="24"/>
        </w:rPr>
        <w:t xml:space="preserve">Edy Hermanto and Sigit Irianto, “PERJANJIAN PEMBIAYAAN KONSUMEN DENGAN JAMINAN FIDUSIA PADA PERUSAHAAN MULTIFINANCE,” </w:t>
      </w:r>
      <w:r w:rsidRPr="00932422">
        <w:rPr>
          <w:rFonts w:ascii="Calibri" w:hAnsi="Calibri" w:cs="Calibri"/>
          <w:i/>
          <w:iCs/>
          <w:kern w:val="0"/>
          <w:szCs w:val="24"/>
        </w:rPr>
        <w:t>Notary Law Research</w:t>
      </w:r>
      <w:r w:rsidRPr="00932422">
        <w:rPr>
          <w:rFonts w:ascii="Calibri" w:hAnsi="Calibri" w:cs="Calibri"/>
          <w:kern w:val="0"/>
          <w:szCs w:val="24"/>
        </w:rPr>
        <w:t xml:space="preserve"> 1, no. 1 (December 29, 2020): 21, https://doi.org/10.56444/nlr.v1i1.1383.</w:t>
      </w:r>
      <w:r>
        <w:fldChar w:fldCharType="end"/>
      </w:r>
    </w:p>
  </w:footnote>
  <w:footnote w:id="22">
    <w:p w14:paraId="242DDE43" w14:textId="0E37B678" w:rsidR="00970A41" w:rsidRPr="00970A41" w:rsidRDefault="00970A41">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{"citationID":"Vme9JV73","properties":{"formattedCitation":"Nur Hidayat, \\uc0\\u8220{}PENARIKAN PAKSA KENDARAAN BERMOTOR DALAM JAMINAN FIDUSIA SETELAH ADANYA PUTUSAN MAHKAMAH KONSTITUSI NOMOR 18/PUU-XVII/2019,\\uc0\\u8221{} {\\i{}Jurnal Yustitia} 22, no. 2 (December 23, 2021), https://doi.org/10.53712/yustitia.v22i2.1337.","plainCitation":"Nur Hidayat, “PENARIKAN PAKSA KENDARAAN BERMOTOR DALAM JAMINAN FIDUSIA SETELAH ADANYA PUTUSAN MAHKAMAH KONSTITUSI NOMOR 18/PUU-XVII/2019,” Jurnal Yustitia 22, no. 2 (December 23, 2021), https://doi.org/10.53712/yustitia.v22i2.1337.","noteIndex":20},"citationItems":[{"id":19,"uris":["http://zotero.org/users/local/3lvjNiZ9/items/DKFSBL56"],"itemData":{"id":19,"type":"article-journal","abstract":"Jaminan Fidusia adalah hak jaminan atas benda bergerak baik yang berwujud maupun yang tidak berwujud dan benda tidak bergerak khususnya bangunan yang tidak dapat dibebani hak tanggungan. Untuk mendapatkan perlindungan pada penerima dan pemberi jaminan fidusia , Undang-Undang Jaminan Fidusia nomor 42 tahun 1999 ( UUJF) beserta Permenkeu nomor: 130 / PMK.010 / 2012 mewajibkan pendaftaran terhadap pembebanan jaminan fidusia.Eksekusi atau penarikan benda dalam jaminan fidusia dapat dilakukan secara riil maupun verkoop. Setelah adanya Putusan MKNomor 18/PUU-XVII/2019 ketentuan pasal 15 ayat 2 dan ayat 3 UU nomor 42 tahun 1999 ( UUJF ) tidak dapat lagi dijadikan dasar untuk melakukan eksekusi benda dalam jaminan fidusia karena ketentuan pasal ini dinyatakan tidak mempunyai kekuatan hukum mengikat bilamana frasasepanjang tidak dimaknai “terhadap jaminan fidusia yang tidak ada kesepakatan tentang cidera janji (wanprestasi) dan debitor keberatan menyerahkan secara sukarela objek yang menjadi jaminan fidusia serta  frasa “cidera janji” bertentangan dengan Undang-Undang Dasar Negara Republik Indonesia Tahun 1945 dan tidak mempunyai kekuatan hukum mengikat sepanjang tidak dimaknai bahwa “adanya cidera janji tidak ditentukan secara sepihak oleh kreditor melainkan atas dasar kesepakatan antara kreditor dengan debitor atau atas dasar upaya hukum yang menentukan telah terjadinya cidera janji”, sehingga penarikan paksa benda jaminan fidusia  ( kendaraan bermotor ) dapat dikenakan sanksi pidana.","container-title":"Jurnal Yustitia","DOI":"10.53712/yustitia.v22i2.1337","ISSN":"2985-8887, 1412-2928","issue":"2","journalAbbreviation":"Yustitia","source":"DOI.org (Crossref)","title":"PENARIKAN PAKSA KENDARAAN BERMOTOR DALAM JAMINAN FIDUSIA SETELAH ADANYA PUTUSAN MAHKAMAH KONSTITUSI NOMOR 18/PUU-XVII/2019","URL":"http://ejournal.unira.ac.id/index.php/yustitia/article/view/1337","volume":"22","author":[{"family":"Hidayat","given":"Nur"}],"accessed":{"date-parts":[["2023",12,17]]},"issued":{"date-parts":[["2021",12,23]]}}}],"schema":"https://github.com/citation-style-language/schema/raw/master/csl-citation.json"} </w:instrText>
      </w:r>
      <w:r>
        <w:fldChar w:fldCharType="separate"/>
      </w:r>
      <w:r w:rsidR="003D3269" w:rsidRPr="003D3269">
        <w:rPr>
          <w:rFonts w:ascii="Calibri" w:hAnsi="Calibri" w:cs="Calibri"/>
          <w:kern w:val="0"/>
          <w:szCs w:val="24"/>
        </w:rPr>
        <w:t xml:space="preserve">Nur Hidayat, “PENARIKAN PAKSA KENDARAAN BERMOTOR DALAM JAMINAN FIDUSIA SETELAH ADANYA PUTUSAN MAHKAMAH KONSTITUSI NOMOR 18/PUU-XVII/2019,” </w:t>
      </w:r>
      <w:r w:rsidR="003D3269" w:rsidRPr="003D3269">
        <w:rPr>
          <w:rFonts w:ascii="Calibri" w:hAnsi="Calibri" w:cs="Calibri"/>
          <w:i/>
          <w:iCs/>
          <w:kern w:val="0"/>
          <w:szCs w:val="24"/>
        </w:rPr>
        <w:t>Jurnal Yustitia</w:t>
      </w:r>
      <w:r w:rsidR="003D3269" w:rsidRPr="003D3269">
        <w:rPr>
          <w:rFonts w:ascii="Calibri" w:hAnsi="Calibri" w:cs="Calibri"/>
          <w:kern w:val="0"/>
          <w:szCs w:val="24"/>
        </w:rPr>
        <w:t xml:space="preserve"> 22, no. 2 (December 23, 2021), https://doi.org/10.53712/yustitia.v22i2.1337.</w:t>
      </w:r>
      <w:r>
        <w:fldChar w:fldCharType="end"/>
      </w:r>
    </w:p>
  </w:footnote>
  <w:footnote w:id="23">
    <w:p w14:paraId="3FC4BDFA" w14:textId="082B2C9D" w:rsidR="004C525F" w:rsidRPr="004C525F" w:rsidRDefault="004C525F">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{"citationID":"f1RDbrKt","properties":{"formattedCitation":"Misnar Syam, \\uc0\\u8220{}PELAKSANAAN EKSEKUSI OBJEK JAMINAN FIDUSIA PASCA PUTUSAN MAHKAMAH KONSTITUSI NOMOR 18/PUU-VII/2019 PADA MASA PANDEMI COVID 19 DI KOTA PADANG,\\uc0\\u8221{} {\\i{}UNES Journal of Swara Justisia} 7, no. 2 (July 1, 2023): 335, https://doi.org/10.31933/ujsj.v7i2.349.","plainCitation":"Misnar Syam, “PELAKSANAAN EKSEKUSI OBJEK JAMINAN FIDUSIA PASCA PUTUSAN MAHKAMAH KONSTITUSI NOMOR 18/PUU-VII/2019 PADA MASA PANDEMI COVID 19 DI KOTA PADANG,” UNES Journal of Swara Justisia 7, no. 2 (July 1, 2023): 335, https://doi.org/10.31933/ujsj.v7i2.349.","noteIndex":21},"citationItems":[{"id":33,"uris":["http://zotero.org/users/local/3lvjNiZ9/items/Q4IWE4XU"],"itemData":{"id":33,"type":"article-journal","abstract":"Putusan Mahkamah Konstitusi No 18/PUU-XVII/2019 menyatakan parate eksekusi dapat dilakukan dengan syarat adanya kesepakatan  debitor dan kreditor telah wanprestasi dan debitor menyerahkan objek jaminan secara sukarela. Jika  tidak  eksekusi dilakukan dengan penetapan pengadilan. Ini akan menimbulkan permasalahan mengenai tidak adanya kejelasan atas prosedur  atau mekanisme penentuan serta proses eksekusinya dikaitkan pada masa pandemi covid 19 dimana kemampuan debitor dalam membayar pembiayaan/kreditnya sangat lemah disebabkan dampak pandemi covid-19, begitu juga yang terjadi di Kota padang. Metode penelitian yang digunakan dalam penelitian ini adalah yuridis sosiologis dengan pendekatan masalah menggunakan eksplanatoris. Jenis data yang digunakan data primer dan sekunder. Analisis data yang digunakan adalah yuridis kualitatif. Permasalahan  dalam penelitian ini adalah 1) Bagaimana pelaksanaan jaminan fidusia Pasca putusan Mahkamah Konstitusi No 18/PUU-XVII/2019  Pada Masa Pandemi Covid 19? Kesimpulannya adalah lembaga pembiayaan tetap melaksanakan eksekusi objek jaminan fidusianya dengan parate eksekusiEksekusi objek jaminan fidusia pada masa pandemi covid 19 di kota Padang, pada lembaga pembiayaan masih dilakukan dengan upaya paksa dengan menggunakan parate eksekusi, sedang lembaga perbankan tidak.","container-title":"UNES Journal of Swara Justisia","DOI":"10.31933/ujsj.v7i2.349","ISSN":"2579-4914, 2579-4701","issue":"2","journalAbbreviation":"UJSJ","page":"335","source":"DOI.org (Crossref)","title":"PELAKSANAAN EKSEKUSI OBJEK JAMINAN FIDUSIA PASCA PUTUSAN MAHKAMAH KONSTITUSI NOMOR 18/PUU-VII/2019 PADA MASA PANDEMI COVID 19 DI KOTA PADANG","volume":"7","author":[{"family":"Syam","given":"Misnar"}],"issued":{"date-parts":[["2023",7,1]]}}}],"schema":"https://github.com/citation-style-language/schema/raw/master/csl-citation.json"} </w:instrText>
      </w:r>
      <w:r>
        <w:fldChar w:fldCharType="separate"/>
      </w:r>
      <w:r w:rsidRPr="004C525F">
        <w:rPr>
          <w:rFonts w:ascii="Calibri" w:hAnsi="Calibri" w:cs="Calibri"/>
          <w:kern w:val="0"/>
          <w:szCs w:val="24"/>
        </w:rPr>
        <w:t xml:space="preserve">Misnar Syam, “PELAKSANAAN EKSEKUSI OBJEK JAMINAN FIDUSIA PASCA PUTUSAN MAHKAMAH KONSTITUSI NOMOR 18/PUU-VII/2019 PADA MASA PANDEMI COVID 19 DI KOTA PADANG,” </w:t>
      </w:r>
      <w:r w:rsidRPr="004C525F">
        <w:rPr>
          <w:rFonts w:ascii="Calibri" w:hAnsi="Calibri" w:cs="Calibri"/>
          <w:i/>
          <w:iCs/>
          <w:kern w:val="0"/>
          <w:szCs w:val="24"/>
        </w:rPr>
        <w:t>UNES Journal of Swara Justisia</w:t>
      </w:r>
      <w:r w:rsidRPr="004C525F">
        <w:rPr>
          <w:rFonts w:ascii="Calibri" w:hAnsi="Calibri" w:cs="Calibri"/>
          <w:kern w:val="0"/>
          <w:szCs w:val="24"/>
        </w:rPr>
        <w:t xml:space="preserve"> 7, no. 2 (July 1, 2023): 335, https://doi.org/10.31933/ujsj.v7i2.349.</w:t>
      </w:r>
      <w:r>
        <w:fldChar w:fldCharType="end"/>
      </w:r>
    </w:p>
  </w:footnote>
  <w:footnote w:id="24">
    <w:p w14:paraId="0F425576" w14:textId="75E5651C" w:rsidR="00FE7779" w:rsidRPr="00FE7779" w:rsidRDefault="00FE7779">
      <w:pPr>
        <w:pStyle w:val="FootnoteText"/>
        <w:rPr>
          <w:lang w:val="en-US"/>
        </w:rPr>
      </w:pPr>
      <w:r w:rsidRPr="00552667">
        <w:rPr>
          <w:rStyle w:val="FootnoteReference"/>
        </w:rPr>
        <w:footnoteRef/>
      </w:r>
      <w:r>
        <w:t xml:space="preserve"> </w:t>
      </w:r>
      <w:r>
        <w:fldChar w:fldCharType="begin"/>
      </w:r>
      <w:r w:rsidR="00932422">
        <w:instrText xml:space="preserve"> ADDIN ZOTERO_ITEM CSL_CITATION {"citationID":"9tVNtrnL","properties":{"formattedCitation":"Deystia Ayesha Rae, \\uc0\\u8220{}Implikasi Putusan Mahkamah Konstitusi No. 18/PUU-XVII/2019 Terhadap Hak Melakukan Parate Eksekusi Oleh Pemegang Jaminan Fidusia,\\uc0\\u8221{} {\\i{}JISIP (Jurnal Ilmu Sosial Dan Pendidikan)} 5, no. 2 (March 1, 2021), https://doi.org/10.36312/jisip.v5i2.1808.","plainCitation":"Deystia Ayesha Rae, “Implikasi Putusan Mahkamah Konstitusi No. 18/PUU-XVII/2019 Terhadap Hak Melakukan Parate Eksekusi Oleh Pemegang Jaminan Fidusia,” JISIP (Jurnal Ilmu Sosial Dan Pendidikan) 5, no. 2 (March 1, 2021), https://doi.org/10.36312/jisip.v5i2.1808.","noteIndex":22},"citationItems":[{"id":26,"uris":["http://zotero.org/users/local/3lvjNiZ9/items/4GIQ3DU9"],"itemData":{"id":26,"type":"article-journal","abstract":"Penelitian ini meneliti mengenai implikasi Putusan Mahkamah Konstitusi No. 18/PUU-XVII/2019 terhadap hak parate eksekusi yang melekat pada hak jaminan fidusia dan diberikan kepada kreditur selaku penerima objek jaminan fidusia. Putusan Mahkamah Konsitusi No. 18/PUU-XVII/2019 dikhawatirkan telah menghilangkan salah satu kekhususan dan/atau daya tarik yang ada pada jaminan fidusia, sehingga dapat menurunkan minat calon kreditur untuk dapat menyalurkan kredit kepada calon debitur. Hal tersebut tentu bertentangan dengan pertimbangan awal dari pembuat undang-undang dalam menyediakan suatu lembaga parate eksekusi, yaitu untuk memberikan perlindungan hukum kepada calon kreditur, dan meningkatkan minat calon kreditur untuk menyalurkan kredit sehingga dapat meningkatkan perekonomian negara.","container-title":"JISIP (Jurnal Ilmu Sosial dan Pendidikan)","DOI":"10.36312/jisip.v5i2.1808","ISSN":"2656-6753, 2598-9944","issue":"2","journalAbbreviation":"JISIP","source":"DOI.org (Crossref)","title":"Implikasi Putusan Mahkamah Konstitusi No. 18/PUU-XVII/2019 Terhadap Hak Melakukan Parate Eksekusi Oleh Pemegang Jaminan Fidusia","URL":"http://ejournal.mandalanursa.org/index.php/JISIP/article/view/1808","volume":"5","author":[{"family":"Rae","given":"Deystia Ayesha"}],"accessed":{"date-parts":[["2023",12,20]]},"issued":{"date-parts":[["2021",3,1]]}}}],"schema":"https://github.com/citation-style-language/schema/raw/master/csl-citation.json"} </w:instrText>
      </w:r>
      <w:r>
        <w:fldChar w:fldCharType="separate"/>
      </w:r>
      <w:r w:rsidR="003D3269" w:rsidRPr="003D3269">
        <w:rPr>
          <w:rFonts w:ascii="Calibri" w:hAnsi="Calibri" w:cs="Calibri"/>
          <w:kern w:val="0"/>
          <w:szCs w:val="24"/>
        </w:rPr>
        <w:t xml:space="preserve">Deystia Ayesha Rae, “Implikasi Putusan Mahkamah Konstitusi No. 18/PUU-XVII/2019 Terhadap Hak Melakukan Parate Eksekusi Oleh Pemegang Jaminan Fidusia,” </w:t>
      </w:r>
      <w:r w:rsidR="003D3269" w:rsidRPr="003D3269">
        <w:rPr>
          <w:rFonts w:ascii="Calibri" w:hAnsi="Calibri" w:cs="Calibri"/>
          <w:i/>
          <w:iCs/>
          <w:kern w:val="0"/>
          <w:szCs w:val="24"/>
        </w:rPr>
        <w:t>JISIP (Jurnal Ilmu Sosial Dan Pendidikan)</w:t>
      </w:r>
      <w:r w:rsidR="003D3269" w:rsidRPr="003D3269">
        <w:rPr>
          <w:rFonts w:ascii="Calibri" w:hAnsi="Calibri" w:cs="Calibri"/>
          <w:kern w:val="0"/>
          <w:szCs w:val="24"/>
        </w:rPr>
        <w:t xml:space="preserve"> 5, no. 2 (March 1, 2021), https://doi.org/10.36312/jisip.v5i2.1808.</w:t>
      </w:r>
      <w:r>
        <w:fldChar w:fldCharType="end"/>
      </w:r>
    </w:p>
  </w:footnote>
  <w:footnote w:id="25">
    <w:p w14:paraId="0649DAE7" w14:textId="2E6C2D48" w:rsidR="003D5650" w:rsidRPr="003D5650" w:rsidRDefault="003D5650">
      <w:pPr>
        <w:pStyle w:val="FootnoteText"/>
        <w:rPr>
          <w:lang w:val="en-US"/>
        </w:rPr>
      </w:pPr>
      <w:r>
        <w:rPr>
          <w:rStyle w:val="FootnoteReference"/>
        </w:rPr>
        <w:footnoteRef/>
      </w:r>
      <w:r>
        <w:t xml:space="preserve"> </w:t>
      </w:r>
      <w:r>
        <w:fldChar w:fldCharType="begin"/>
      </w:r>
      <w:r w:rsidR="00932422">
        <w:instrText xml:space="preserve"> ADDIN ZOTERO_ITEM CSL_CITATION {"citationID":"7WP7Fr2K","properties":{"formattedCitation":"Imaculata Sherly Mayasari and Nynda Fatmawati Octarina, \\uc0\\u8220{}Kedudukan Hukum Pidana Atas Pengambilan Kendaraan Paksa Debitur Oleh Debt Collector Lembaga Pembiayaan,\\uc0\\u8221{} {\\i{}JURNAL RECHTENS} 9, no. 2 (December 30, 2020): 141\\uc0\\u8211{}52, https://doi.org/10.36835/rechtens.v9i2.788.","plainCitation":"Imaculata Sherly Mayasari and Nynda Fatmawati Octarina, “Kedudukan Hukum Pidana Atas Pengambilan Kendaraan Paksa Debitur Oleh Debt Collector Lembaga Pembiayaan,” JURNAL RECHTENS 9, no. 2 (December 30, 2020): 141–52, https://doi.org/10.36835/rechtens.v9i2.788.","noteIndex":23},"citationItems":[{"id":51,"uris":["http://zotero.org/users/local/3lvjNiZ9/items/4GBG5VD5"],"itemData":{"id":51,"type":"article-journal","abstract":"Abstrak\n Penggunaan Debt Collector pada perusahaan pembiayaan konsumen tidak dilarang asal dilaksanakan sesuai dengan prosedur yang ditetapkan dan tidak melanggar norma serta aturan yang ada. Akan tetapi pada prakteknya, para debt collector sering tidak beretika ketika menarik kendaraan milik debitur yang menunggak. Karena tugas mereka hanyalah menagih hutang bukan untuk menakuti, menyiksa apalagi berbuat yg sampai menghilangkan nyawa orang lain. Oleh karena itu, masyarakat agar mematuhi kontrak yang sudah dibuat kepada satu perusahaan pembiayaan konsumen dan pada debt collector agar tidak bertindak melanggar hukum dalam melaksanakan tugas-tugasnya.\n Kata Kunci :  Debt Collector, Lembaga Pembiayaan, Penarikan Sepeda Motor\n \nAbstract\n The use of a Debt Collector in consumer finance companies is not prohibited as long as it is carried out in accordance with prescribed procedures and does not violate existing norms and regulations. However, in practice, debt collectors are often unethical when pulling vehicles belonging to delinquent debtors. Because their job is just a debt debt, not to fear, let alone taxes that have taken the lives of others. Therefore, the public must comply with the contracts that have been made with a consumer finance company and to a debt collector so as not to violate the law in carrying out their duties.\n Keywords : Debt Collector, Financing Institution, Motorcycle Withdrawal","container-title":"JURNAL RECHTENS","DOI":"10.36835/rechtens.v9i2.788","ISSN":"2622-1802, 1907-7114","issue":"2","journalAbbreviation":"J.Rech","page":"141-152","source":"DOI.org (Crossref)","title":"Kedudukan Hukum Pidana Atas Pengambilan Kendaraan Paksa Debitur oleh Debt Collector Lembaga Pembiayaan","volume":"9","author":[{"family":"Sherly Mayasari","given":"Imaculata"},{"family":"Fatmawati Octarina","given":"Nynda"}],"issued":{"date-parts":[["2020",12,30]]}}}],"schema":"https://github.com/citation-style-language/schema/raw/master/csl-citation.json"} </w:instrText>
      </w:r>
      <w:r>
        <w:fldChar w:fldCharType="separate"/>
      </w:r>
      <w:r w:rsidRPr="003D5650">
        <w:rPr>
          <w:rFonts w:ascii="Calibri" w:hAnsi="Calibri" w:cs="Calibri"/>
          <w:kern w:val="0"/>
          <w:szCs w:val="24"/>
        </w:rPr>
        <w:t xml:space="preserve">Imaculata Sherly Mayasari and Nynda Fatmawati Octarina, “Kedudukan Hukum Pidana Atas Pengambilan Kendaraan Paksa Debitur Oleh Debt Collector Lembaga Pembiayaan,” </w:t>
      </w:r>
      <w:r w:rsidRPr="003D5650">
        <w:rPr>
          <w:rFonts w:ascii="Calibri" w:hAnsi="Calibri" w:cs="Calibri"/>
          <w:i/>
          <w:iCs/>
          <w:kern w:val="0"/>
          <w:szCs w:val="24"/>
        </w:rPr>
        <w:t>JURNAL RECHTENS</w:t>
      </w:r>
      <w:r w:rsidRPr="003D5650">
        <w:rPr>
          <w:rFonts w:ascii="Calibri" w:hAnsi="Calibri" w:cs="Calibri"/>
          <w:kern w:val="0"/>
          <w:szCs w:val="24"/>
        </w:rPr>
        <w:t xml:space="preserve"> 9, no. 2 (December 30, 2020): 141–52, https://doi.org/10.36835/rechtens.v9i2.788.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49C5"/>
    <w:multiLevelType w:val="multilevel"/>
    <w:tmpl w:val="CBC83B5C"/>
    <w:lvl w:ilvl="0">
      <w:start w:val="1"/>
      <w:numFmt w:val="decimal"/>
      <w:lvlText w:val="%1."/>
      <w:lvlJc w:val="left"/>
      <w:pPr>
        <w:ind w:left="720"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12"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308" w:hanging="1440"/>
      </w:pPr>
      <w:rPr>
        <w:rFonts w:hint="default"/>
      </w:rPr>
    </w:lvl>
    <w:lvl w:ilvl="8">
      <w:start w:val="1"/>
      <w:numFmt w:val="decimal"/>
      <w:isLgl/>
      <w:lvlText w:val="%1.%2.%3.%4.%5.%6.%7.%8.%9"/>
      <w:lvlJc w:val="left"/>
      <w:pPr>
        <w:ind w:left="7312" w:hanging="1800"/>
      </w:pPr>
      <w:rPr>
        <w:rFonts w:hint="default"/>
      </w:rPr>
    </w:lvl>
  </w:abstractNum>
  <w:abstractNum w:abstractNumId="1" w15:restartNumberingAfterBreak="0">
    <w:nsid w:val="3BE622B8"/>
    <w:multiLevelType w:val="multilevel"/>
    <w:tmpl w:val="6C9C0D44"/>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41A06655"/>
    <w:multiLevelType w:val="hybridMultilevel"/>
    <w:tmpl w:val="FFFFFFFF"/>
    <w:lvl w:ilvl="0" w:tplc="C0983E5A">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3" w15:restartNumberingAfterBreak="0">
    <w:nsid w:val="5DB405D8"/>
    <w:multiLevelType w:val="hybridMultilevel"/>
    <w:tmpl w:val="D0EEC0CC"/>
    <w:lvl w:ilvl="0" w:tplc="38090001">
      <w:start w:val="1"/>
      <w:numFmt w:val="bullet"/>
      <w:lvlText w:val=""/>
      <w:lvlJc w:val="left"/>
      <w:pPr>
        <w:ind w:left="1353" w:hanging="360"/>
      </w:pPr>
      <w:rPr>
        <w:rFonts w:ascii="Symbol" w:hAnsi="Symbol"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4" w15:restartNumberingAfterBreak="0">
    <w:nsid w:val="798A08A5"/>
    <w:multiLevelType w:val="hybridMultilevel"/>
    <w:tmpl w:val="088AD0F4"/>
    <w:lvl w:ilvl="0" w:tplc="849E094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779984487">
    <w:abstractNumId w:val="0"/>
  </w:num>
  <w:num w:numId="2" w16cid:durableId="526990640">
    <w:abstractNumId w:val="2"/>
  </w:num>
  <w:num w:numId="3" w16cid:durableId="1827355393">
    <w:abstractNumId w:val="4"/>
  </w:num>
  <w:num w:numId="4" w16cid:durableId="691805688">
    <w:abstractNumId w:val="3"/>
  </w:num>
  <w:num w:numId="5" w16cid:durableId="82774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F3"/>
    <w:rsid w:val="00034AB3"/>
    <w:rsid w:val="00076AA1"/>
    <w:rsid w:val="000B2726"/>
    <w:rsid w:val="000C0BA0"/>
    <w:rsid w:val="00106FC1"/>
    <w:rsid w:val="00124F73"/>
    <w:rsid w:val="0013130B"/>
    <w:rsid w:val="001F698B"/>
    <w:rsid w:val="002563F8"/>
    <w:rsid w:val="002A5B18"/>
    <w:rsid w:val="002A6727"/>
    <w:rsid w:val="002B4865"/>
    <w:rsid w:val="002E6EEE"/>
    <w:rsid w:val="002F7819"/>
    <w:rsid w:val="00327F70"/>
    <w:rsid w:val="003518CE"/>
    <w:rsid w:val="003601CC"/>
    <w:rsid w:val="00391F8C"/>
    <w:rsid w:val="003A174B"/>
    <w:rsid w:val="003D2D44"/>
    <w:rsid w:val="003D3269"/>
    <w:rsid w:val="003D5650"/>
    <w:rsid w:val="003F453D"/>
    <w:rsid w:val="004274C1"/>
    <w:rsid w:val="00475177"/>
    <w:rsid w:val="00475A07"/>
    <w:rsid w:val="0048510F"/>
    <w:rsid w:val="004947AC"/>
    <w:rsid w:val="004B0065"/>
    <w:rsid w:val="004C525F"/>
    <w:rsid w:val="004C6558"/>
    <w:rsid w:val="004E2ACB"/>
    <w:rsid w:val="00501D33"/>
    <w:rsid w:val="00521A38"/>
    <w:rsid w:val="005338C7"/>
    <w:rsid w:val="00552667"/>
    <w:rsid w:val="0055428D"/>
    <w:rsid w:val="005A6801"/>
    <w:rsid w:val="005E2362"/>
    <w:rsid w:val="00612702"/>
    <w:rsid w:val="00624656"/>
    <w:rsid w:val="00654DAC"/>
    <w:rsid w:val="00663DFA"/>
    <w:rsid w:val="00666BF3"/>
    <w:rsid w:val="006751A3"/>
    <w:rsid w:val="00683113"/>
    <w:rsid w:val="006834AF"/>
    <w:rsid w:val="00694840"/>
    <w:rsid w:val="006A3113"/>
    <w:rsid w:val="0070111B"/>
    <w:rsid w:val="00720BDB"/>
    <w:rsid w:val="0072707C"/>
    <w:rsid w:val="00742268"/>
    <w:rsid w:val="00797847"/>
    <w:rsid w:val="007C53DE"/>
    <w:rsid w:val="007E5D88"/>
    <w:rsid w:val="007E6ED8"/>
    <w:rsid w:val="007F1944"/>
    <w:rsid w:val="007F4533"/>
    <w:rsid w:val="00823330"/>
    <w:rsid w:val="00824559"/>
    <w:rsid w:val="0084049B"/>
    <w:rsid w:val="008476ED"/>
    <w:rsid w:val="00853BC5"/>
    <w:rsid w:val="00877D70"/>
    <w:rsid w:val="008B775A"/>
    <w:rsid w:val="008F19B9"/>
    <w:rsid w:val="008F3E3C"/>
    <w:rsid w:val="008F482A"/>
    <w:rsid w:val="00932422"/>
    <w:rsid w:val="00953164"/>
    <w:rsid w:val="00954590"/>
    <w:rsid w:val="00970A41"/>
    <w:rsid w:val="00994E24"/>
    <w:rsid w:val="009B5AC9"/>
    <w:rsid w:val="009C100A"/>
    <w:rsid w:val="009F4EAF"/>
    <w:rsid w:val="00A00615"/>
    <w:rsid w:val="00A04F02"/>
    <w:rsid w:val="00A63B39"/>
    <w:rsid w:val="00A96811"/>
    <w:rsid w:val="00AA2C2B"/>
    <w:rsid w:val="00AD28D8"/>
    <w:rsid w:val="00AE0F98"/>
    <w:rsid w:val="00AE2856"/>
    <w:rsid w:val="00B15D6F"/>
    <w:rsid w:val="00B56099"/>
    <w:rsid w:val="00B96B00"/>
    <w:rsid w:val="00BA6F43"/>
    <w:rsid w:val="00BC2D78"/>
    <w:rsid w:val="00C217E5"/>
    <w:rsid w:val="00C260AD"/>
    <w:rsid w:val="00C37EC7"/>
    <w:rsid w:val="00C53F2B"/>
    <w:rsid w:val="00C63B89"/>
    <w:rsid w:val="00CC6B7A"/>
    <w:rsid w:val="00D03F0D"/>
    <w:rsid w:val="00D275C9"/>
    <w:rsid w:val="00D60983"/>
    <w:rsid w:val="00DA0194"/>
    <w:rsid w:val="00DD30F6"/>
    <w:rsid w:val="00DE3A26"/>
    <w:rsid w:val="00E30CA9"/>
    <w:rsid w:val="00E475AC"/>
    <w:rsid w:val="00E57478"/>
    <w:rsid w:val="00E77BC6"/>
    <w:rsid w:val="00E87F32"/>
    <w:rsid w:val="00EC3796"/>
    <w:rsid w:val="00EC5E8A"/>
    <w:rsid w:val="00EC75E1"/>
    <w:rsid w:val="00EF6324"/>
    <w:rsid w:val="00EF682B"/>
    <w:rsid w:val="00F32DC7"/>
    <w:rsid w:val="00F7275D"/>
    <w:rsid w:val="00FA1245"/>
    <w:rsid w:val="00FC19F0"/>
    <w:rsid w:val="00FE487C"/>
    <w:rsid w:val="00FE77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BBC7"/>
  <w15:chartTrackingRefBased/>
  <w15:docId w15:val="{3B680616-7FE7-4D55-BF2A-6630101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F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BF3"/>
    <w:pPr>
      <w:ind w:left="720"/>
      <w:contextualSpacing/>
    </w:pPr>
  </w:style>
  <w:style w:type="paragraph" w:customStyle="1" w:styleId="Default">
    <w:name w:val="Default"/>
    <w:rsid w:val="00666BF3"/>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styleId="FootnoteText">
    <w:name w:val="footnote text"/>
    <w:basedOn w:val="Normal"/>
    <w:link w:val="FootnoteTextChar"/>
    <w:uiPriority w:val="99"/>
    <w:unhideWhenUsed/>
    <w:rsid w:val="00666BF3"/>
    <w:pPr>
      <w:spacing w:after="0" w:line="240" w:lineRule="auto"/>
    </w:pPr>
    <w:rPr>
      <w:sz w:val="20"/>
      <w:szCs w:val="20"/>
    </w:rPr>
  </w:style>
  <w:style w:type="character" w:customStyle="1" w:styleId="FootnoteTextChar">
    <w:name w:val="Footnote Text Char"/>
    <w:basedOn w:val="DefaultParagraphFont"/>
    <w:link w:val="FootnoteText"/>
    <w:uiPriority w:val="99"/>
    <w:rsid w:val="00666BF3"/>
    <w:rPr>
      <w:rFonts w:eastAsia="Times New Roman" w:cs="Times New Roman"/>
      <w:sz w:val="20"/>
      <w:szCs w:val="20"/>
    </w:rPr>
  </w:style>
  <w:style w:type="character" w:styleId="FootnoteReference">
    <w:name w:val="footnote reference"/>
    <w:basedOn w:val="DefaultParagraphFont"/>
    <w:uiPriority w:val="99"/>
    <w:semiHidden/>
    <w:unhideWhenUsed/>
    <w:rsid w:val="00666BF3"/>
    <w:rPr>
      <w:rFonts w:cs="Times New Roman"/>
      <w:vertAlign w:val="superscript"/>
    </w:rPr>
  </w:style>
  <w:style w:type="character" w:styleId="Hyperlink">
    <w:name w:val="Hyperlink"/>
    <w:basedOn w:val="DefaultParagraphFont"/>
    <w:uiPriority w:val="99"/>
    <w:unhideWhenUsed/>
    <w:rsid w:val="00654DAC"/>
    <w:rPr>
      <w:rFonts w:cs="Times New Roman"/>
      <w:color w:val="0563C1" w:themeColor="hyperlink"/>
      <w:u w:val="single"/>
    </w:rPr>
  </w:style>
  <w:style w:type="character" w:styleId="Strong">
    <w:name w:val="Strong"/>
    <w:basedOn w:val="DefaultParagraphFont"/>
    <w:uiPriority w:val="22"/>
    <w:qFormat/>
    <w:rsid w:val="0070111B"/>
    <w:rPr>
      <w:b/>
      <w:bCs/>
    </w:rPr>
  </w:style>
  <w:style w:type="character" w:customStyle="1" w:styleId="A6">
    <w:name w:val="A6"/>
    <w:uiPriority w:val="99"/>
    <w:rsid w:val="00E475AC"/>
    <w:rPr>
      <w:color w:val="000000"/>
      <w:sz w:val="22"/>
    </w:rPr>
  </w:style>
  <w:style w:type="character" w:styleId="UnresolvedMention">
    <w:name w:val="Unresolved Mention"/>
    <w:basedOn w:val="DefaultParagraphFont"/>
    <w:uiPriority w:val="99"/>
    <w:semiHidden/>
    <w:unhideWhenUsed/>
    <w:rsid w:val="00DE3A26"/>
    <w:rPr>
      <w:color w:val="605E5C"/>
      <w:shd w:val="clear" w:color="auto" w:fill="E1DFDD"/>
    </w:rPr>
  </w:style>
  <w:style w:type="character" w:styleId="PlaceholderText">
    <w:name w:val="Placeholder Text"/>
    <w:basedOn w:val="DefaultParagraphFont"/>
    <w:uiPriority w:val="99"/>
    <w:semiHidden/>
    <w:rsid w:val="008F482A"/>
    <w:rPr>
      <w:color w:val="666666"/>
    </w:rPr>
  </w:style>
  <w:style w:type="paragraph" w:styleId="Bibliography">
    <w:name w:val="Bibliography"/>
    <w:basedOn w:val="Normal"/>
    <w:next w:val="Normal"/>
    <w:uiPriority w:val="37"/>
    <w:unhideWhenUsed/>
    <w:rsid w:val="005A6801"/>
    <w:pPr>
      <w:spacing w:after="0" w:line="240" w:lineRule="auto"/>
      <w:ind w:left="720" w:hanging="720"/>
    </w:pPr>
  </w:style>
  <w:style w:type="character" w:styleId="EndnoteReference">
    <w:name w:val="endnote reference"/>
    <w:basedOn w:val="DefaultParagraphFont"/>
    <w:uiPriority w:val="99"/>
    <w:semiHidden/>
    <w:unhideWhenUsed/>
    <w:rsid w:val="00FC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7507">
      <w:bodyDiv w:val="1"/>
      <w:marLeft w:val="0"/>
      <w:marRight w:val="0"/>
      <w:marTop w:val="0"/>
      <w:marBottom w:val="0"/>
      <w:divBdr>
        <w:top w:val="none" w:sz="0" w:space="0" w:color="auto"/>
        <w:left w:val="none" w:sz="0" w:space="0" w:color="auto"/>
        <w:bottom w:val="none" w:sz="0" w:space="0" w:color="auto"/>
        <w:right w:val="none" w:sz="0" w:space="0" w:color="auto"/>
      </w:divBdr>
    </w:div>
    <w:div w:id="964656586">
      <w:bodyDiv w:val="1"/>
      <w:marLeft w:val="0"/>
      <w:marRight w:val="0"/>
      <w:marTop w:val="0"/>
      <w:marBottom w:val="0"/>
      <w:divBdr>
        <w:top w:val="none" w:sz="0" w:space="0" w:color="auto"/>
        <w:left w:val="none" w:sz="0" w:space="0" w:color="auto"/>
        <w:bottom w:val="none" w:sz="0" w:space="0" w:color="auto"/>
        <w:right w:val="none" w:sz="0" w:space="0" w:color="auto"/>
      </w:divBdr>
    </w:div>
    <w:div w:id="1076322790">
      <w:bodyDiv w:val="1"/>
      <w:marLeft w:val="0"/>
      <w:marRight w:val="0"/>
      <w:marTop w:val="0"/>
      <w:marBottom w:val="0"/>
      <w:divBdr>
        <w:top w:val="none" w:sz="0" w:space="0" w:color="auto"/>
        <w:left w:val="none" w:sz="0" w:space="0" w:color="auto"/>
        <w:bottom w:val="none" w:sz="0" w:space="0" w:color="auto"/>
        <w:right w:val="none" w:sz="0" w:space="0" w:color="auto"/>
      </w:divBdr>
    </w:div>
    <w:div w:id="13517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9BE6C-15A3-4A68-A17A-DC1F7948CE0A}">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Enn19</b:Tag>
    <b:SourceType>JournalArticle</b:SourceType>
    <b:Guid>{073D940A-1D77-4387-B3F2-F98C23236D74}</b:Guid>
    <b:LCID>id-ID</b:LCID>
    <b:Author>
      <b:Author>
        <b:NameList>
          <b:Person>
            <b:Last>Enni Martalena.P</b:Last>
            <b:First>et</b:First>
            <b:Middle>al</b:Middle>
          </b:Person>
        </b:NameList>
      </b:Author>
    </b:Author>
    <b:Title>Analisis Hukum Terhadap Benda Jaminan Yang Digadaikan Oleh Debitur Kepada Pihak Lain</b:Title>
    <b:JournalName>ARBITER : Jurnal Ilmiah Magister Hukum</b:JournalName>
    <b:Year>2019</b:Year>
    <b:Pages>42-54</b:Pages>
    <b:Volume>1</b:Volume>
    <b:Issue>1</b:Issue>
    <b:DOI>https:??doi.org/10.31289/arbitzer.v5i2</b:DOI>
    <b:RefOrder>1</b:RefOrder>
  </b:Source>
</b:Sources>
</file>

<file path=customXml/itemProps1.xml><?xml version="1.0" encoding="utf-8"?>
<ds:datastoreItem xmlns:ds="http://schemas.openxmlformats.org/officeDocument/2006/customXml" ds:itemID="{B0196EE3-B853-4D0A-BA45-FF233E03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15</Pages>
  <Words>5022</Words>
  <Characters>28630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Luthfi</dc:creator>
  <cp:keywords/>
  <dc:description/>
  <cp:lastModifiedBy>Nabil Luthfi</cp:lastModifiedBy>
  <cp:revision>88</cp:revision>
  <dcterms:created xsi:type="dcterms:W3CDTF">2023-12-01T02:19:00Z</dcterms:created>
  <dcterms:modified xsi:type="dcterms:W3CDTF">2023-12-21T07:05:00Z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id="OBEjJFoT"/&gt;&lt;style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