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3088C" w14:textId="1F87EBA7" w:rsidR="00E07077" w:rsidRPr="00B92020" w:rsidRDefault="00E07077" w:rsidP="00E07077">
      <w:pPr>
        <w:spacing w:after="0" w:line="240" w:lineRule="auto"/>
        <w:jc w:val="center"/>
        <w:rPr>
          <w:rFonts w:ascii="Times New Roman" w:hAnsi="Times New Roman" w:cs="Times New Roman"/>
          <w:b/>
          <w:bCs/>
          <w:sz w:val="24"/>
          <w:szCs w:val="24"/>
        </w:rPr>
      </w:pPr>
      <w:r w:rsidRPr="00B92020">
        <w:rPr>
          <w:rFonts w:ascii="Times New Roman" w:hAnsi="Times New Roman" w:cs="Times New Roman"/>
          <w:b/>
          <w:bCs/>
          <w:sz w:val="24"/>
          <w:szCs w:val="24"/>
        </w:rPr>
        <w:t>THE REGIONAL REPRESENTATIVE COUNCIL (DPD RI) AND THE CHECKS AND BALANCES MECHANISM IN THE LEGISLATIVE PROCESS WITHIN INDONESIA'S CONSTITUTIONAL SYSTEM</w:t>
      </w:r>
    </w:p>
    <w:p w14:paraId="19B082F6" w14:textId="77777777" w:rsidR="00E07077" w:rsidRPr="00B92020" w:rsidRDefault="00E07077" w:rsidP="00E07077">
      <w:pPr>
        <w:spacing w:after="0" w:line="240" w:lineRule="auto"/>
        <w:jc w:val="center"/>
        <w:rPr>
          <w:rFonts w:ascii="Times New Roman" w:hAnsi="Times New Roman" w:cs="Times New Roman"/>
          <w:b/>
          <w:bCs/>
          <w:sz w:val="24"/>
          <w:szCs w:val="24"/>
        </w:rPr>
      </w:pPr>
    </w:p>
    <w:p w14:paraId="5349592E" w14:textId="6F158128" w:rsidR="00E07077" w:rsidRPr="00B92020" w:rsidRDefault="00E07077" w:rsidP="00E07077">
      <w:pPr>
        <w:spacing w:after="0" w:line="240" w:lineRule="auto"/>
        <w:jc w:val="center"/>
        <w:rPr>
          <w:rFonts w:ascii="Times New Roman" w:hAnsi="Times New Roman" w:cs="Times New Roman"/>
          <w:b/>
          <w:bCs/>
          <w:sz w:val="24"/>
          <w:szCs w:val="24"/>
        </w:rPr>
      </w:pPr>
      <w:r w:rsidRPr="00B92020">
        <w:rPr>
          <w:rFonts w:ascii="Times New Roman" w:hAnsi="Times New Roman" w:cs="Times New Roman"/>
          <w:b/>
          <w:bCs/>
          <w:sz w:val="24"/>
          <w:szCs w:val="24"/>
        </w:rPr>
        <w:t>Benediktus Hestu Cipto Handoyo</w:t>
      </w:r>
    </w:p>
    <w:p w14:paraId="034E5C70" w14:textId="2DF735FB" w:rsidR="00E07077" w:rsidRPr="00B92020" w:rsidRDefault="00E07077" w:rsidP="00E07077">
      <w:pPr>
        <w:spacing w:after="0" w:line="240" w:lineRule="auto"/>
        <w:jc w:val="center"/>
        <w:rPr>
          <w:rFonts w:ascii="Times New Roman" w:hAnsi="Times New Roman" w:cs="Times New Roman"/>
          <w:b/>
          <w:bCs/>
          <w:sz w:val="24"/>
          <w:szCs w:val="24"/>
        </w:rPr>
      </w:pPr>
      <w:r w:rsidRPr="00B92020">
        <w:rPr>
          <w:rFonts w:ascii="Times New Roman" w:hAnsi="Times New Roman" w:cs="Times New Roman"/>
          <w:b/>
          <w:bCs/>
          <w:sz w:val="24"/>
          <w:szCs w:val="24"/>
        </w:rPr>
        <w:t>Faculty of Law, Atma Jaya University Yogyakarta</w:t>
      </w:r>
    </w:p>
    <w:p w14:paraId="1B723072" w14:textId="42FE15EE" w:rsidR="00E07077" w:rsidRPr="00B92020" w:rsidRDefault="00E07077" w:rsidP="00E07077">
      <w:pPr>
        <w:spacing w:after="0" w:line="240" w:lineRule="auto"/>
        <w:jc w:val="center"/>
        <w:rPr>
          <w:rFonts w:ascii="Times New Roman" w:hAnsi="Times New Roman" w:cs="Times New Roman"/>
          <w:b/>
          <w:bCs/>
          <w:sz w:val="24"/>
          <w:szCs w:val="24"/>
        </w:rPr>
      </w:pPr>
      <w:hyperlink r:id="rId8" w:history="1">
        <w:r w:rsidRPr="00B92020">
          <w:rPr>
            <w:rStyle w:val="Hyperlink"/>
            <w:rFonts w:ascii="Times New Roman" w:hAnsi="Times New Roman" w:cs="Times New Roman"/>
            <w:b/>
            <w:bCs/>
            <w:sz w:val="24"/>
            <w:szCs w:val="24"/>
          </w:rPr>
          <w:t>ben.hestu@gmail.com</w:t>
        </w:r>
      </w:hyperlink>
    </w:p>
    <w:p w14:paraId="51F4ACEA" w14:textId="77777777" w:rsidR="00E07077" w:rsidRPr="00B92020" w:rsidRDefault="00E07077" w:rsidP="00E07077">
      <w:pPr>
        <w:spacing w:after="0" w:line="240" w:lineRule="auto"/>
        <w:jc w:val="center"/>
        <w:rPr>
          <w:rFonts w:ascii="Times New Roman" w:hAnsi="Times New Roman" w:cs="Times New Roman"/>
          <w:b/>
          <w:bCs/>
          <w:sz w:val="24"/>
          <w:szCs w:val="24"/>
        </w:rPr>
      </w:pPr>
    </w:p>
    <w:p w14:paraId="75759F35" w14:textId="77777777" w:rsidR="00E07077" w:rsidRPr="00E07077" w:rsidRDefault="00E07077" w:rsidP="00E07077">
      <w:pPr>
        <w:spacing w:after="0" w:line="360" w:lineRule="auto"/>
        <w:jc w:val="center"/>
        <w:rPr>
          <w:rFonts w:ascii="Times New Roman" w:eastAsia="Calibri" w:hAnsi="Times New Roman" w:cs="Times New Roman"/>
          <w:kern w:val="0"/>
          <w:sz w:val="24"/>
          <w:szCs w:val="24"/>
          <w:lang w:val="id-ID"/>
          <w14:ligatures w14:val="none"/>
        </w:rPr>
      </w:pPr>
      <w:r w:rsidRPr="00E07077">
        <w:rPr>
          <w:rFonts w:ascii="Times New Roman" w:eastAsia="Calibri" w:hAnsi="Times New Roman" w:cs="Times New Roman"/>
          <w:kern w:val="0"/>
          <w:sz w:val="24"/>
          <w:szCs w:val="24"/>
          <w:lang w:val="id-ID"/>
          <w14:ligatures w14:val="none"/>
        </w:rPr>
        <w:t>ABSTRACT</w:t>
      </w:r>
    </w:p>
    <w:p w14:paraId="3C69A193" w14:textId="77777777" w:rsidR="00E07077" w:rsidRPr="00E07077" w:rsidRDefault="00E07077" w:rsidP="00E07077">
      <w:pPr>
        <w:spacing w:after="0" w:line="240" w:lineRule="auto"/>
        <w:jc w:val="both"/>
        <w:rPr>
          <w:rFonts w:ascii="Times New Roman" w:eastAsia="Calibri" w:hAnsi="Times New Roman" w:cs="Times New Roman"/>
          <w:i/>
          <w:iCs/>
          <w:kern w:val="0"/>
          <w:sz w:val="24"/>
          <w:szCs w:val="24"/>
          <w:lang w:val="id-ID"/>
          <w14:ligatures w14:val="none"/>
        </w:rPr>
      </w:pPr>
      <w:r w:rsidRPr="00E07077">
        <w:rPr>
          <w:rFonts w:ascii="Times New Roman" w:eastAsia="Calibri" w:hAnsi="Times New Roman" w:cs="Times New Roman"/>
          <w:i/>
          <w:iCs/>
          <w:kern w:val="0"/>
          <w:sz w:val="24"/>
          <w:szCs w:val="24"/>
          <w:lang w:val="id-ID"/>
          <w14:ligatures w14:val="none"/>
        </w:rPr>
        <w:t>This article discusses the function of the House of Regional Representatives of the Republic of Indonesia (DPD RI) in the legislative process and the mechanism of checks and balances in the Indonesian constitutional system. DPD RI, as a regional representation, has an important role in fighting for regional interests in the formation of laws. However, the authority of DPD RI in the legislative process is often considered limited, especially when compared to the House of Representatives (DPR RI). This article examines how DPD RI functions in the context of checks and balances, especially in an effort to maintain the balance of power between the executive and the legislature and between the centre and the regions. Through analysis of the role of DPD RI in the discussion of the bill and interaction with DPR RI, this article highlights the challenges and opportunities in strengthening the role of DPD RI in the national legislative system. In conclusion, legislation reform and capacity building of DPD RI are needed to make the mechanism of checks and balances more effective and can strengthen the democratic system in Indonesia.</w:t>
      </w:r>
    </w:p>
    <w:p w14:paraId="3B685ED7" w14:textId="77777777" w:rsidR="00E07077" w:rsidRPr="00E07077" w:rsidRDefault="00E07077" w:rsidP="00E07077">
      <w:pPr>
        <w:spacing w:after="0" w:line="240" w:lineRule="auto"/>
        <w:jc w:val="both"/>
        <w:rPr>
          <w:rFonts w:ascii="Times New Roman" w:eastAsia="Calibri" w:hAnsi="Times New Roman" w:cs="Times New Roman"/>
          <w:i/>
          <w:iCs/>
          <w:kern w:val="0"/>
          <w:sz w:val="24"/>
          <w:szCs w:val="24"/>
          <w:lang w:val="id-ID"/>
          <w14:ligatures w14:val="none"/>
        </w:rPr>
      </w:pPr>
    </w:p>
    <w:p w14:paraId="2E0B4129" w14:textId="77777777" w:rsidR="00E07077" w:rsidRPr="00E07077" w:rsidRDefault="00E07077" w:rsidP="00E07077">
      <w:pPr>
        <w:spacing w:after="0" w:line="240" w:lineRule="auto"/>
        <w:jc w:val="both"/>
        <w:rPr>
          <w:rFonts w:ascii="Times New Roman" w:eastAsia="Calibri" w:hAnsi="Times New Roman" w:cs="Times New Roman"/>
          <w:b/>
          <w:bCs/>
          <w:i/>
          <w:iCs/>
          <w:kern w:val="0"/>
          <w:sz w:val="24"/>
          <w:szCs w:val="24"/>
          <w:lang w:val="id-ID"/>
          <w14:ligatures w14:val="none"/>
        </w:rPr>
      </w:pPr>
      <w:r w:rsidRPr="00E07077">
        <w:rPr>
          <w:rFonts w:ascii="Times New Roman" w:eastAsia="Calibri" w:hAnsi="Times New Roman" w:cs="Times New Roman"/>
          <w:b/>
          <w:bCs/>
          <w:i/>
          <w:iCs/>
          <w:kern w:val="0"/>
          <w:sz w:val="24"/>
          <w:szCs w:val="24"/>
          <w:lang w:val="id-ID"/>
          <w14:ligatures w14:val="none"/>
        </w:rPr>
        <w:t>Keywords: DPD RI, checks and balances, legislative process, Indonesian constitution, democracy.</w:t>
      </w:r>
    </w:p>
    <w:p w14:paraId="159B5E65" w14:textId="77777777" w:rsidR="00E07077" w:rsidRPr="00B92020" w:rsidRDefault="00E07077" w:rsidP="00E07077">
      <w:pPr>
        <w:spacing w:after="0" w:line="360" w:lineRule="auto"/>
        <w:jc w:val="center"/>
        <w:rPr>
          <w:rFonts w:ascii="Times New Roman" w:hAnsi="Times New Roman" w:cs="Times New Roman"/>
          <w:b/>
          <w:bCs/>
          <w:sz w:val="24"/>
          <w:szCs w:val="24"/>
        </w:rPr>
      </w:pPr>
    </w:p>
    <w:p w14:paraId="0DF10F3D" w14:textId="3E051E2A" w:rsidR="00E07077" w:rsidRPr="001F5E90" w:rsidRDefault="00E07077" w:rsidP="00E07077">
      <w:pPr>
        <w:spacing w:after="0" w:line="360" w:lineRule="auto"/>
        <w:jc w:val="both"/>
        <w:rPr>
          <w:rFonts w:ascii="Times New Roman" w:hAnsi="Times New Roman" w:cs="Times New Roman"/>
          <w:b/>
          <w:bCs/>
          <w:sz w:val="24"/>
          <w:szCs w:val="24"/>
        </w:rPr>
      </w:pPr>
      <w:r w:rsidRPr="001F5E90">
        <w:rPr>
          <w:rFonts w:ascii="Times New Roman" w:hAnsi="Times New Roman" w:cs="Times New Roman"/>
          <w:b/>
          <w:bCs/>
          <w:sz w:val="24"/>
          <w:szCs w:val="24"/>
        </w:rPr>
        <w:t>I. INTRODUCTION</w:t>
      </w:r>
    </w:p>
    <w:p w14:paraId="73E23EAF" w14:textId="77777777" w:rsidR="00E07077" w:rsidRPr="001F5E90" w:rsidRDefault="00E07077" w:rsidP="00E07077">
      <w:pPr>
        <w:spacing w:after="0" w:line="360" w:lineRule="auto"/>
        <w:jc w:val="both"/>
        <w:rPr>
          <w:rFonts w:ascii="Times New Roman" w:hAnsi="Times New Roman" w:cs="Times New Roman"/>
          <w:b/>
          <w:bCs/>
          <w:sz w:val="24"/>
          <w:szCs w:val="24"/>
        </w:rPr>
      </w:pPr>
      <w:r w:rsidRPr="001F5E90">
        <w:rPr>
          <w:rFonts w:ascii="Times New Roman" w:hAnsi="Times New Roman" w:cs="Times New Roman"/>
          <w:b/>
          <w:bCs/>
          <w:sz w:val="24"/>
          <w:szCs w:val="24"/>
        </w:rPr>
        <w:t>A. Background</w:t>
      </w:r>
    </w:p>
    <w:p w14:paraId="10E64DBB" w14:textId="3E35069D" w:rsidR="00E07077" w:rsidRPr="00B92020" w:rsidRDefault="00E07077" w:rsidP="00E07077">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After the third amendment to the 1945 Constitution of the Republic of Indonesia (UUD NRI 1945), the parliamentary system of the Unitary State of the Republic of Indonesia underwent significant changes. These changes are outlined in Chapter VIIA, Articles 22C and 22D of the 1945 Constitution, which introduced the Regional Representative Council (DPD) as a high state institution that represents regional interests in the national political decision-making process, alongside the political representation housed in the House of Representatives (DPR).</w:t>
      </w:r>
      <w:r w:rsidRPr="00B92020">
        <w:rPr>
          <w:rStyle w:val="FootnoteReference"/>
          <w:rFonts w:ascii="Times New Roman" w:hAnsi="Times New Roman" w:cs="Times New Roman"/>
          <w:sz w:val="24"/>
          <w:szCs w:val="24"/>
        </w:rPr>
        <w:footnoteReference w:id="1"/>
      </w:r>
    </w:p>
    <w:p w14:paraId="0C6B76A3" w14:textId="77777777" w:rsidR="00E07077" w:rsidRPr="00B92020" w:rsidRDefault="00E07077" w:rsidP="00E07077">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 xml:space="preserve">Viewed from the changes in Indonesia's constitutional system post the 1998 reform, the emergence of the DPD as a high state institution is fundamentally a response to the rejection of the authoritarian-oligarchic-centralistic system implemented by the New Order regime for approximately 32 years. Therefore, the existence of the DPD is inherently linked to the lengthy </w:t>
      </w:r>
      <w:r w:rsidRPr="00B92020">
        <w:rPr>
          <w:rFonts w:ascii="Times New Roman" w:hAnsi="Times New Roman" w:cs="Times New Roman"/>
          <w:sz w:val="24"/>
          <w:szCs w:val="24"/>
        </w:rPr>
        <w:lastRenderedPageBreak/>
        <w:t>debates surrounding the amendments to the 1945 Constitution, aimed at establishing a democratic and decentralized governance system, which was a primary demand of the 1998 reform movement.</w:t>
      </w:r>
    </w:p>
    <w:p w14:paraId="296E8ECC" w14:textId="47E99BF7" w:rsidR="00E07077" w:rsidRPr="00B92020" w:rsidRDefault="00E07077" w:rsidP="00E07077">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Democracy requires the people's involvement in participating in national political decision-making through their representatives, elected through general elections.</w:t>
      </w:r>
      <w:r w:rsidRPr="00B92020">
        <w:rPr>
          <w:rStyle w:val="FootnoteReference"/>
          <w:rFonts w:ascii="Times New Roman" w:hAnsi="Times New Roman" w:cs="Times New Roman"/>
          <w:sz w:val="24"/>
          <w:szCs w:val="24"/>
        </w:rPr>
        <w:footnoteReference w:id="2"/>
      </w:r>
      <w:r w:rsidRPr="00B92020">
        <w:rPr>
          <w:rFonts w:ascii="Times New Roman" w:hAnsi="Times New Roman" w:cs="Times New Roman"/>
          <w:sz w:val="24"/>
          <w:szCs w:val="24"/>
        </w:rPr>
        <w:t xml:space="preserve"> Meanwhile, decentralization aims to provide regions the space to develop themselves in supporting the structure of the Republic of Indonesia to achieve national ideals and goals, as enshrined in the Preamble of the 1945 Constitution.</w:t>
      </w:r>
      <w:r w:rsidRPr="00B92020">
        <w:rPr>
          <w:rStyle w:val="FootnoteReference"/>
          <w:rFonts w:ascii="Times New Roman" w:hAnsi="Times New Roman" w:cs="Times New Roman"/>
          <w:sz w:val="24"/>
          <w:szCs w:val="24"/>
        </w:rPr>
        <w:footnoteReference w:id="3"/>
      </w:r>
      <w:r w:rsidRPr="00B92020">
        <w:rPr>
          <w:rFonts w:ascii="Times New Roman" w:hAnsi="Times New Roman" w:cs="Times New Roman"/>
          <w:sz w:val="24"/>
          <w:szCs w:val="24"/>
        </w:rPr>
        <w:t xml:space="preserve"> Furthermore, democracy and decentralization can be seen as </w:t>
      </w:r>
      <w:r w:rsidR="00A22F22">
        <w:rPr>
          <w:rFonts w:ascii="Times New Roman" w:hAnsi="Times New Roman" w:cs="Times New Roman"/>
          <w:sz w:val="24"/>
          <w:szCs w:val="24"/>
        </w:rPr>
        <w:t>“</w:t>
      </w:r>
      <w:r w:rsidRPr="00B92020">
        <w:rPr>
          <w:rFonts w:ascii="Times New Roman" w:hAnsi="Times New Roman" w:cs="Times New Roman"/>
          <w:sz w:val="24"/>
          <w:szCs w:val="24"/>
        </w:rPr>
        <w:t>two sides of the same coin" in a modern government system, essential for implementing the principle of popular sovereignty. The spirit of democratic decentralization is clearly reflected in the mindset of the framers of the constitutional amendments. This is evident in the placement of democratic decentralization in the structure of the 1945 Constitution post-amendment, by positioning the chapter on regional government (Chapter VI) in sequence with the chapters on the DPR (Chapter VII) and the DPD (Chapter VIIA).</w:t>
      </w:r>
    </w:p>
    <w:p w14:paraId="58F40CF4" w14:textId="0210019D" w:rsidR="00A54F61" w:rsidRPr="00B92020" w:rsidRDefault="00E07077" w:rsidP="00E07077">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Moreover, considering the course of the amendment process to the 1945 Constitution, the changes were deliberately made in stages: the second amendment addressed regional government and the DPR, while the third amendment focused on the DPD. Based on these second and third amendments, the fourth amendment was made regarding the People's Consultative Assembly (MPR), with the provisions outlined in Article 2 Paragraph (1) of the 1945 Constitution, stating that the MPR consists of members of the DPR and DPD, elected through general elections and further regulated by law.</w:t>
      </w:r>
      <w:r w:rsidRPr="00B92020">
        <w:rPr>
          <w:rStyle w:val="FootnoteReference"/>
          <w:rFonts w:ascii="Times New Roman" w:hAnsi="Times New Roman" w:cs="Times New Roman"/>
          <w:sz w:val="24"/>
          <w:szCs w:val="24"/>
        </w:rPr>
        <w:footnoteReference w:id="4"/>
      </w:r>
    </w:p>
    <w:p w14:paraId="0F0428B8" w14:textId="5B4E2658" w:rsidR="00E07077" w:rsidRPr="00B92020" w:rsidRDefault="00C44E6B" w:rsidP="00E07077">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From the overview of the stages of the amendments and the systematic results of the amendments to the 1945 Constitution of the Republic of Indonesia, it is clear that the vision of the framers of the amendments places regions as an integral part of the Unitary State of the Republic of Indonesia (NKRI). Therefore, regional interests must serve as a reference in every national political decision-making process. In other words, the framers of the amendments to the 1945 Constitution intended for regional interests to be a source of reference and content for national political policies. This reflects the implementation of democratic decentralization that is explicitly outlined in the constitution.</w:t>
      </w:r>
    </w:p>
    <w:p w14:paraId="61C23DD0" w14:textId="77777777" w:rsidR="003E5D75" w:rsidRPr="00B92020" w:rsidRDefault="003E5D75" w:rsidP="00E07077">
      <w:pPr>
        <w:spacing w:after="0" w:line="360" w:lineRule="auto"/>
        <w:ind w:firstLine="851"/>
        <w:jc w:val="both"/>
        <w:rPr>
          <w:rFonts w:ascii="Times New Roman" w:hAnsi="Times New Roman" w:cs="Times New Roman"/>
          <w:sz w:val="24"/>
          <w:szCs w:val="24"/>
        </w:rPr>
      </w:pPr>
    </w:p>
    <w:p w14:paraId="4361782A" w14:textId="77777777" w:rsidR="003E5D75" w:rsidRPr="00B92020" w:rsidRDefault="003E5D75" w:rsidP="003E5D75">
      <w:pPr>
        <w:spacing w:after="0" w:line="360" w:lineRule="auto"/>
        <w:jc w:val="both"/>
        <w:rPr>
          <w:rFonts w:ascii="Times New Roman" w:hAnsi="Times New Roman" w:cs="Times New Roman"/>
          <w:b/>
          <w:bCs/>
          <w:sz w:val="24"/>
          <w:szCs w:val="24"/>
        </w:rPr>
      </w:pPr>
      <w:r w:rsidRPr="00B92020">
        <w:rPr>
          <w:rFonts w:ascii="Times New Roman" w:hAnsi="Times New Roman" w:cs="Times New Roman"/>
          <w:b/>
          <w:bCs/>
          <w:sz w:val="24"/>
          <w:szCs w:val="24"/>
        </w:rPr>
        <w:t>B. Problem Formulation</w:t>
      </w:r>
    </w:p>
    <w:p w14:paraId="2EFB503D" w14:textId="0D4BC1AC" w:rsidR="003E5D75" w:rsidRPr="00B92020" w:rsidRDefault="003E5D75" w:rsidP="003E5D75">
      <w:pPr>
        <w:spacing w:after="0" w:line="360" w:lineRule="auto"/>
        <w:jc w:val="both"/>
        <w:rPr>
          <w:rFonts w:ascii="Times New Roman" w:hAnsi="Times New Roman" w:cs="Times New Roman"/>
          <w:sz w:val="24"/>
          <w:szCs w:val="24"/>
        </w:rPr>
      </w:pPr>
      <w:r w:rsidRPr="00B92020">
        <w:rPr>
          <w:rFonts w:ascii="Times New Roman" w:hAnsi="Times New Roman" w:cs="Times New Roman"/>
          <w:sz w:val="24"/>
          <w:szCs w:val="24"/>
        </w:rPr>
        <w:t>Starting from the background outlined above, the issue raised in this article is: What is the mechanism of checks and balances among the President, the House of Representatives (DPR), and the Regional Representative Council (DPD) in the legislative process within the framework of the constitutional system following the amendment of the 1945 Constitution of the Republic of Indonesia?</w:t>
      </w:r>
    </w:p>
    <w:p w14:paraId="75199291" w14:textId="77777777" w:rsidR="003E5D75" w:rsidRPr="00B92020" w:rsidRDefault="003E5D75" w:rsidP="003E5D75">
      <w:pPr>
        <w:spacing w:after="0" w:line="360" w:lineRule="auto"/>
        <w:jc w:val="both"/>
        <w:rPr>
          <w:rFonts w:ascii="Times New Roman" w:hAnsi="Times New Roman" w:cs="Times New Roman"/>
          <w:sz w:val="24"/>
          <w:szCs w:val="24"/>
        </w:rPr>
      </w:pPr>
    </w:p>
    <w:p w14:paraId="5910DABE" w14:textId="77777777" w:rsidR="003E5D75" w:rsidRPr="00B92020" w:rsidRDefault="003E5D75" w:rsidP="003E5D75">
      <w:pPr>
        <w:spacing w:after="0" w:line="360" w:lineRule="auto"/>
        <w:jc w:val="both"/>
        <w:rPr>
          <w:rFonts w:ascii="Times New Roman" w:hAnsi="Times New Roman" w:cs="Times New Roman"/>
          <w:b/>
          <w:bCs/>
          <w:sz w:val="24"/>
          <w:szCs w:val="24"/>
        </w:rPr>
      </w:pPr>
      <w:r w:rsidRPr="00B92020">
        <w:rPr>
          <w:rFonts w:ascii="Times New Roman" w:hAnsi="Times New Roman" w:cs="Times New Roman"/>
          <w:b/>
          <w:bCs/>
          <w:sz w:val="24"/>
          <w:szCs w:val="24"/>
        </w:rPr>
        <w:t>II. DISCUSSION</w:t>
      </w:r>
    </w:p>
    <w:p w14:paraId="76A498DE" w14:textId="77777777" w:rsidR="003E5D75" w:rsidRPr="00B92020" w:rsidRDefault="003E5D75" w:rsidP="003E5D75">
      <w:pPr>
        <w:spacing w:after="0" w:line="360" w:lineRule="auto"/>
        <w:jc w:val="both"/>
        <w:rPr>
          <w:rFonts w:ascii="Times New Roman" w:hAnsi="Times New Roman" w:cs="Times New Roman"/>
          <w:b/>
          <w:bCs/>
          <w:sz w:val="24"/>
          <w:szCs w:val="24"/>
        </w:rPr>
      </w:pPr>
      <w:r w:rsidRPr="00B92020">
        <w:rPr>
          <w:rFonts w:ascii="Times New Roman" w:hAnsi="Times New Roman" w:cs="Times New Roman"/>
          <w:b/>
          <w:bCs/>
          <w:sz w:val="24"/>
          <w:szCs w:val="24"/>
        </w:rPr>
        <w:t>A. The Role of the DPD in Legislative Checks and Balances</w:t>
      </w:r>
    </w:p>
    <w:p w14:paraId="686B7846" w14:textId="77777777" w:rsidR="003E5D75" w:rsidRPr="00B92020" w:rsidRDefault="003E5D75" w:rsidP="003E5D75">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The existence of the Regional Representative Council (DPD) within the Indonesian constitutional system is inseparable from the institutionalization of representation functions. In the context of institutionalizing representation functions, three systems of representation are recognized and practiced in various democratic countries:</w:t>
      </w:r>
    </w:p>
    <w:p w14:paraId="4840BB89" w14:textId="77777777" w:rsidR="003E5D75" w:rsidRPr="00B92020" w:rsidRDefault="003E5D75" w:rsidP="003E5D75">
      <w:pPr>
        <w:spacing w:after="0" w:line="360" w:lineRule="auto"/>
        <w:jc w:val="both"/>
        <w:rPr>
          <w:rFonts w:ascii="Times New Roman" w:hAnsi="Times New Roman" w:cs="Times New Roman"/>
          <w:sz w:val="24"/>
          <w:szCs w:val="24"/>
        </w:rPr>
      </w:pPr>
      <w:r w:rsidRPr="00B92020">
        <w:rPr>
          <w:rFonts w:ascii="Times New Roman" w:hAnsi="Times New Roman" w:cs="Times New Roman"/>
          <w:sz w:val="24"/>
          <w:szCs w:val="24"/>
        </w:rPr>
        <w:t>a) Political representation;</w:t>
      </w:r>
    </w:p>
    <w:p w14:paraId="766759E6" w14:textId="77777777" w:rsidR="003E5D75" w:rsidRPr="00B92020" w:rsidRDefault="003E5D75" w:rsidP="003E5D75">
      <w:pPr>
        <w:spacing w:after="0" w:line="360" w:lineRule="auto"/>
        <w:jc w:val="both"/>
        <w:rPr>
          <w:rFonts w:ascii="Times New Roman" w:hAnsi="Times New Roman" w:cs="Times New Roman"/>
          <w:sz w:val="24"/>
          <w:szCs w:val="24"/>
        </w:rPr>
      </w:pPr>
      <w:r w:rsidRPr="00B92020">
        <w:rPr>
          <w:rFonts w:ascii="Times New Roman" w:hAnsi="Times New Roman" w:cs="Times New Roman"/>
          <w:sz w:val="24"/>
          <w:szCs w:val="24"/>
        </w:rPr>
        <w:t>b) Territorial representation; and</w:t>
      </w:r>
    </w:p>
    <w:p w14:paraId="75F0B24E" w14:textId="41E2E53C" w:rsidR="003E5D75" w:rsidRPr="00B92020" w:rsidRDefault="003E5D75" w:rsidP="003E5D75">
      <w:pPr>
        <w:spacing w:after="0" w:line="360" w:lineRule="auto"/>
        <w:jc w:val="both"/>
        <w:rPr>
          <w:rFonts w:ascii="Times New Roman" w:hAnsi="Times New Roman" w:cs="Times New Roman"/>
          <w:sz w:val="24"/>
          <w:szCs w:val="24"/>
        </w:rPr>
      </w:pPr>
      <w:r w:rsidRPr="00B92020">
        <w:rPr>
          <w:rFonts w:ascii="Times New Roman" w:hAnsi="Times New Roman" w:cs="Times New Roman"/>
          <w:sz w:val="24"/>
          <w:szCs w:val="24"/>
        </w:rPr>
        <w:t>c) Functional representation.</w:t>
      </w:r>
      <w:r w:rsidRPr="00B92020">
        <w:rPr>
          <w:rStyle w:val="FootnoteReference"/>
          <w:rFonts w:ascii="Times New Roman" w:hAnsi="Times New Roman" w:cs="Times New Roman"/>
          <w:sz w:val="24"/>
          <w:szCs w:val="24"/>
        </w:rPr>
        <w:footnoteReference w:id="5"/>
      </w:r>
    </w:p>
    <w:p w14:paraId="669D50AE" w14:textId="27AC8B5D" w:rsidR="003E5D75" w:rsidRPr="00B92020" w:rsidRDefault="003E5D75" w:rsidP="003E5D75">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When an individual is elected to a representative body through an election, their representation is referred to as political representation. Regardless of their role in society, if they become a member of a representative body through an election, they are still considered a political representative. Generally, this type of representation has its weaknesses, as the elected representatives are often those who are popular due to their political reputation, but This does not necessarily mean that they possess expertise in technical fields such as governance, legislation, economics, and others. Moreover, experts often find it difficult to be elected through this political representation, especially when the general elections use a district-based electoral system. In developed countries, this weakness is less pronounced, as the level of knowledge and education is advanced and evenly distributed. This is why political representation is a preferred choice in developed countries, and general elections remain the best method for constituting parliamentary membership and forming a government. In contrast, in developing countries, representation is achieved not only through political means but also through the appointment of certain individuals in representative bodies.</w:t>
      </w:r>
      <w:r w:rsidRPr="00B92020">
        <w:rPr>
          <w:rStyle w:val="FootnoteReference"/>
          <w:rFonts w:ascii="Times New Roman" w:hAnsi="Times New Roman" w:cs="Times New Roman"/>
          <w:sz w:val="24"/>
          <w:szCs w:val="24"/>
        </w:rPr>
        <w:footnoteReference w:id="6"/>
      </w:r>
    </w:p>
    <w:p w14:paraId="2E2F427F" w14:textId="6C40971B" w:rsidR="00937A3A" w:rsidRPr="00B92020" w:rsidRDefault="00DB1D8E" w:rsidP="003E5D75">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lastRenderedPageBreak/>
        <w:t>The appointment of individuals in representative bodies is usually based on their function, position, or expertise within society, and they are referred to as the functional group, with their representatives called functional representation. Even if a member belongs to a political party, if they are an expert or a prominent figure appointed to a representative body, they are still classified as part of the functional group, and their representation is termed functional representation. This does not include a parliament in a country that is entirely formed through appointments resulting from a power struggle, where the rulers establish a new parliament through designation. However, if functional representation produces representatives from regions, such as members of the Regional Representative Council (DPD) in Indonesia, who are elected from each province through general elections, this is referred to as territorial representation</w:t>
      </w:r>
      <w:r w:rsidR="00EC547C" w:rsidRPr="00B92020">
        <w:rPr>
          <w:rFonts w:ascii="Times New Roman" w:hAnsi="Times New Roman" w:cs="Times New Roman"/>
          <w:sz w:val="24"/>
          <w:szCs w:val="24"/>
        </w:rPr>
        <w:t>.</w:t>
      </w:r>
    </w:p>
    <w:p w14:paraId="05C03EC6" w14:textId="3BFDE580" w:rsidR="00EC547C" w:rsidRPr="00B92020" w:rsidRDefault="00EC547C" w:rsidP="003E5D75">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The Unitary State of the Republic of Indonesia once embraced three representation systems simultaneously: the political representation system, the functional representation system, and the territorial representation system. This was in effect during the time when the 1945 Constitution was in force before it was amended, as stated in Article 2, paragraph (1) of the 1945 Constitution, which stipulates that the People's Consultative Assembly consists of members of the People's Representative Council, in addition to delegates from regions and groups, according to the regulations established by law.</w:t>
      </w:r>
    </w:p>
    <w:p w14:paraId="7E0EB011" w14:textId="3DC6C392" w:rsidR="00EC547C" w:rsidRPr="00B92020" w:rsidRDefault="00EC547C" w:rsidP="003E5D75">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After the amendment of the 1945 Constitution of the Republic of Indonesia, the Regional Representative Council (DPD) was granted limited authority in the fields of budget legislation and oversight. In the legislative domain, the DPD is only authorized to propose and participate in the discussion of draft laws related to regional autonomy, the relationship between central and regional governments, the establishment and expansion or merger of regions, the management of natural resources and other economic resources, as well as matters concerning the financial balance between the central and regional governments [Article 22D, paragraphs (1) and (2)]</w:t>
      </w:r>
    </w:p>
    <w:p w14:paraId="21DC779D" w14:textId="77777777" w:rsidR="00B72D82" w:rsidRPr="00B72D82" w:rsidRDefault="00B72D82" w:rsidP="00B72D82">
      <w:pPr>
        <w:spacing w:after="0" w:line="360" w:lineRule="auto"/>
        <w:ind w:firstLine="851"/>
        <w:jc w:val="both"/>
        <w:rPr>
          <w:rFonts w:ascii="Times New Roman" w:hAnsi="Times New Roman" w:cs="Times New Roman"/>
          <w:sz w:val="24"/>
          <w:szCs w:val="24"/>
        </w:rPr>
      </w:pPr>
      <w:r w:rsidRPr="00B72D82">
        <w:rPr>
          <w:rFonts w:ascii="Times New Roman" w:hAnsi="Times New Roman" w:cs="Times New Roman"/>
          <w:sz w:val="24"/>
          <w:szCs w:val="24"/>
        </w:rPr>
        <w:t>Although the powers of the Regional Representative Council (DPD) to propose and discuss draft laws (RUU) are explicitly limited, this authority is not confined solely to the five types of draft laws mentioned but extends more broadly to any draft law related to those five substantive categories. Furthermore, the DPD is also authorized to provide recommendations to the People's Representative Council (DPR) regarding the draft laws on the State Budget (APBN) and those related to taxation, education, and religion (Article 22D, paragraph 2).</w:t>
      </w:r>
    </w:p>
    <w:p w14:paraId="21E57404" w14:textId="77777777" w:rsidR="00B72D82" w:rsidRPr="00B72D82" w:rsidRDefault="00B72D82" w:rsidP="00B72D82">
      <w:pPr>
        <w:spacing w:after="0" w:line="360" w:lineRule="auto"/>
        <w:ind w:firstLine="851"/>
        <w:jc w:val="both"/>
        <w:rPr>
          <w:rFonts w:ascii="Times New Roman" w:hAnsi="Times New Roman" w:cs="Times New Roman"/>
          <w:sz w:val="24"/>
          <w:szCs w:val="24"/>
        </w:rPr>
      </w:pPr>
      <w:r w:rsidRPr="00B72D82">
        <w:rPr>
          <w:rFonts w:ascii="Times New Roman" w:hAnsi="Times New Roman" w:cs="Times New Roman"/>
          <w:sz w:val="24"/>
          <w:szCs w:val="24"/>
        </w:rPr>
        <w:t xml:space="preserve">The involvement of the DPD in providing recommendations during the discussions of these draft laws is intended to give the DPD an opportunity to express its views and opinions </w:t>
      </w:r>
      <w:r w:rsidRPr="00B72D82">
        <w:rPr>
          <w:rFonts w:ascii="Times New Roman" w:hAnsi="Times New Roman" w:cs="Times New Roman"/>
          <w:sz w:val="24"/>
          <w:szCs w:val="24"/>
        </w:rPr>
        <w:lastRenderedPageBreak/>
        <w:t>on these draft laws, as they are closely related to regional interests. The oversight authority granted to the DPD is limited to monitoring laws related to the types of laws that the DPD has participated in discussing or providing recommendations for. This is meant to ensure continuity in the DPD's authority to oversee the implementation of various draft laws pertinent to regional interests. Additionally, the DPD is given the authority to provide recommendations regarding the appointment of members of the Audit Board (BPK). The rationale behind this authority stems from the BPK's role in supervising the use of funds from the State Budget law (APBN), which the DPD has been involved in discussing.</w:t>
      </w:r>
    </w:p>
    <w:p w14:paraId="7AA08DD9" w14:textId="77777777" w:rsidR="00B72D82" w:rsidRPr="00B72D82" w:rsidRDefault="00B72D82" w:rsidP="00B72D82">
      <w:pPr>
        <w:spacing w:after="0" w:line="360" w:lineRule="auto"/>
        <w:ind w:firstLine="851"/>
        <w:jc w:val="both"/>
        <w:rPr>
          <w:rFonts w:ascii="Times New Roman" w:hAnsi="Times New Roman" w:cs="Times New Roman"/>
          <w:sz w:val="24"/>
          <w:szCs w:val="24"/>
        </w:rPr>
      </w:pPr>
      <w:r w:rsidRPr="00B72D82">
        <w:rPr>
          <w:rFonts w:ascii="Times New Roman" w:hAnsi="Times New Roman" w:cs="Times New Roman"/>
          <w:sz w:val="24"/>
          <w:szCs w:val="24"/>
        </w:rPr>
        <w:t>The authority granted as stipulated in Article 22D, paragraphs (1) and (2) indicates that the core competence of the DPD is closely related to regional matters. This means that the drafters of the amendment to the 1945 Constitution of the Republic of Indonesia genuinely intended for regional interests to serve as a reference in every political policy-making process. The drafters sought for the DPD not merely to serve as a "symbol" of regional interests but to play a substantial role in implementing a democratic-decentralization concept by exercising the constitutional powers outlined for them. This conceptual framework by the drafters of the amendment to the 1945 Constitution also reflects a paradigm of checks and balances between central and regional interests within the national political policies carried out by the DPD.</w:t>
      </w:r>
    </w:p>
    <w:p w14:paraId="7C6EBA36" w14:textId="77777777" w:rsidR="00B72D82" w:rsidRPr="00B72D82" w:rsidRDefault="00B72D82" w:rsidP="00B72D82">
      <w:pPr>
        <w:spacing w:after="0" w:line="360" w:lineRule="auto"/>
        <w:ind w:firstLine="851"/>
        <w:jc w:val="both"/>
        <w:rPr>
          <w:rFonts w:ascii="Times New Roman" w:hAnsi="Times New Roman" w:cs="Times New Roman"/>
          <w:sz w:val="24"/>
          <w:szCs w:val="24"/>
        </w:rPr>
      </w:pPr>
      <w:r w:rsidRPr="00B72D82">
        <w:rPr>
          <w:rFonts w:ascii="Times New Roman" w:hAnsi="Times New Roman" w:cs="Times New Roman"/>
          <w:sz w:val="24"/>
          <w:szCs w:val="24"/>
        </w:rPr>
        <w:t>However, in empirical terms, Article 22D, paragraphs (1) and (2) does not automatically become the basis for consideration by lawmakers concerning legislative mechanisms. The provisions of these articles have been interpreted differently by the lawmakers, diverging from the original spirit of the drafters of the amendment to the 1945 Constitution when the DPD was established. This interpretation arose because, following the amendment of the 1945 Constitution, explanatory notes were no longer included.</w:t>
      </w:r>
    </w:p>
    <w:p w14:paraId="3EEA978A" w14:textId="77777777" w:rsidR="00B72D82" w:rsidRPr="00B72D82" w:rsidRDefault="00B72D82" w:rsidP="00B72D82">
      <w:pPr>
        <w:spacing w:after="0" w:line="360" w:lineRule="auto"/>
        <w:ind w:firstLine="851"/>
        <w:jc w:val="both"/>
        <w:rPr>
          <w:rFonts w:ascii="Times New Roman" w:hAnsi="Times New Roman" w:cs="Times New Roman"/>
          <w:sz w:val="24"/>
          <w:szCs w:val="24"/>
        </w:rPr>
      </w:pPr>
      <w:r w:rsidRPr="00B72D82">
        <w:rPr>
          <w:rFonts w:ascii="Times New Roman" w:hAnsi="Times New Roman" w:cs="Times New Roman"/>
          <w:sz w:val="24"/>
          <w:szCs w:val="24"/>
        </w:rPr>
        <w:t>There are two laws related to the legislative authority of the DPD that do not reflect the spirit of the drafters of the amendment to the 1945 Constitution in establishing the DPD as a representation of regions in the formation of laws. These laws are Law No. 27 of 2009 concerning the MPR, DPR, DPD, and DPRD (MD3 Law) and Law No. 12 of 2011 concerning the Formation of Legislation (P3 Law), which has been amended twice by Law No. 13 of 2022 on the Second Amendment to Law No. 12 of 2011 concerning the Formation of Legislation. Both of these laws regulate legislation—specifically—the formation of laws conducted by the DPR together with the President.</w:t>
      </w:r>
    </w:p>
    <w:p w14:paraId="48C44E97" w14:textId="03D1EF35" w:rsidR="00B72D82" w:rsidRPr="00B92020" w:rsidRDefault="00B72D82" w:rsidP="00B72D82">
      <w:pPr>
        <w:spacing w:after="0" w:line="360" w:lineRule="auto"/>
        <w:ind w:firstLine="851"/>
        <w:jc w:val="both"/>
        <w:rPr>
          <w:rFonts w:ascii="Times New Roman" w:hAnsi="Times New Roman" w:cs="Times New Roman"/>
          <w:sz w:val="24"/>
          <w:szCs w:val="24"/>
        </w:rPr>
      </w:pPr>
      <w:r w:rsidRPr="00B72D82">
        <w:rPr>
          <w:rFonts w:ascii="Times New Roman" w:hAnsi="Times New Roman" w:cs="Times New Roman"/>
          <w:sz w:val="24"/>
          <w:szCs w:val="24"/>
        </w:rPr>
        <w:t xml:space="preserve">Within the framework of law formation as outlined in these two laws, three important aspects are governed: first, the planning conducted through the preparation of the National Legislation Program (Prolegnas); second, the process of formulating laws (through the </w:t>
      </w:r>
      <w:r w:rsidRPr="00B72D82">
        <w:rPr>
          <w:rFonts w:ascii="Times New Roman" w:hAnsi="Times New Roman" w:cs="Times New Roman"/>
          <w:sz w:val="24"/>
          <w:szCs w:val="24"/>
        </w:rPr>
        <w:lastRenderedPageBreak/>
        <w:t>proposal of either a draft bill or legislation originating from the Government, DPR, or DPD); and third, the process of discussing draft bills (through a two-tiered discussion mechanism)</w:t>
      </w:r>
      <w:r w:rsidRPr="00B92020">
        <w:rPr>
          <w:rFonts w:ascii="Times New Roman" w:hAnsi="Times New Roman" w:cs="Times New Roman"/>
          <w:sz w:val="24"/>
          <w:szCs w:val="24"/>
        </w:rPr>
        <w:t>.</w:t>
      </w:r>
      <w:r w:rsidRPr="00B92020">
        <w:rPr>
          <w:rStyle w:val="FootnoteReference"/>
          <w:rFonts w:ascii="Times New Roman" w:hAnsi="Times New Roman" w:cs="Times New Roman"/>
          <w:sz w:val="24"/>
          <w:szCs w:val="24"/>
        </w:rPr>
        <w:footnoteReference w:id="7"/>
      </w:r>
    </w:p>
    <w:p w14:paraId="17318094" w14:textId="77777777" w:rsidR="00B72D82" w:rsidRPr="00B92020" w:rsidRDefault="00B72D82" w:rsidP="00B72D82">
      <w:pPr>
        <w:spacing w:after="0" w:line="360" w:lineRule="auto"/>
        <w:ind w:firstLine="851"/>
        <w:jc w:val="both"/>
        <w:rPr>
          <w:rFonts w:ascii="Times New Roman" w:hAnsi="Times New Roman" w:cs="Times New Roman"/>
          <w:sz w:val="24"/>
          <w:szCs w:val="24"/>
        </w:rPr>
      </w:pPr>
    </w:p>
    <w:p w14:paraId="1F3F829E" w14:textId="77777777" w:rsidR="002802DC" w:rsidRPr="00B92020" w:rsidRDefault="002802DC" w:rsidP="002802DC">
      <w:pPr>
        <w:spacing w:after="0" w:line="360" w:lineRule="auto"/>
        <w:jc w:val="both"/>
        <w:rPr>
          <w:rFonts w:ascii="Times New Roman" w:hAnsi="Times New Roman" w:cs="Times New Roman"/>
          <w:b/>
          <w:bCs/>
          <w:sz w:val="24"/>
          <w:szCs w:val="24"/>
        </w:rPr>
      </w:pPr>
      <w:r w:rsidRPr="00B92020">
        <w:rPr>
          <w:rFonts w:ascii="Times New Roman" w:hAnsi="Times New Roman" w:cs="Times New Roman"/>
          <w:b/>
          <w:bCs/>
          <w:sz w:val="24"/>
          <w:szCs w:val="24"/>
        </w:rPr>
        <w:t>B. Formulation of the National Legislation Program (Prolegnas).</w:t>
      </w:r>
    </w:p>
    <w:p w14:paraId="6898F5C2" w14:textId="16CBCC31" w:rsidR="00B72D82" w:rsidRPr="00B92020" w:rsidRDefault="002802DC" w:rsidP="002802DC">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According to Article 1, number 9 of the P3 Law, the National Legislation Program (Prolegnas) is an instrument for planning the formation of laws that is prepared in a planned, integrated, and systematic manner. Based on this definition, the formulation of the Prolegnas should involve state institutions that are granted legislative authority by the constitution, namely the DPR, the President, and the DPD. However, in the subsequent provisions regarding the Prolegnas—as regulated in the P3 Law—the role of the DPD is entirely denied. This is clearly evident in Article 18, letter g, which states that in the preparation of the Prolegnas, as referred to in Article 16, the formulation of the draft law list is based on the government's work plan and the strategic plan of the DPR. The role of the DPD is further diminished by the provisions of Article 20, paragraph (1), which states: "The formulation of the Prolegnas is carried out by the DPR and the government.</w:t>
      </w:r>
    </w:p>
    <w:p w14:paraId="18F93ED4" w14:textId="77777777" w:rsidR="009C57AC" w:rsidRPr="009C57AC" w:rsidRDefault="009C57AC" w:rsidP="009C57AC">
      <w:pPr>
        <w:spacing w:after="0" w:line="360" w:lineRule="auto"/>
        <w:ind w:firstLine="851"/>
        <w:jc w:val="both"/>
        <w:rPr>
          <w:rFonts w:ascii="Times New Roman" w:hAnsi="Times New Roman" w:cs="Times New Roman"/>
          <w:sz w:val="24"/>
          <w:szCs w:val="24"/>
        </w:rPr>
      </w:pPr>
      <w:r w:rsidRPr="009C57AC">
        <w:rPr>
          <w:rFonts w:ascii="Times New Roman" w:hAnsi="Times New Roman" w:cs="Times New Roman"/>
          <w:sz w:val="24"/>
          <w:szCs w:val="24"/>
        </w:rPr>
        <w:t>The two provisions that do not mention the role of the DPD at all essentially represent a denial of the principle of democratic decentralization, which was conceived by the drafters of the amendments to the 1945 Constitution of the Republic of Indonesia. This principle conceptually seeks to prioritize the balance of interests between the central government and the regions in planning and determining national political policy programs, which are articulated in the Prolegnas. Such a condition clearly hinders the DPD's efforts to represent regional interests, especially since every national political policy program that will later be translated into written legal products (laws) will also be implemented across all regions in Indonesia. A crucial question arises when the DPD is not involved in the formulation of the Prolegnas: what references regarding regional interests are used as a basis for drafting the Prolegnas?</w:t>
      </w:r>
    </w:p>
    <w:p w14:paraId="4C84C19A" w14:textId="77777777" w:rsidR="009C57AC" w:rsidRPr="00B92020" w:rsidRDefault="009C57AC" w:rsidP="009C57AC">
      <w:pPr>
        <w:spacing w:after="0" w:line="360" w:lineRule="auto"/>
        <w:ind w:firstLine="851"/>
        <w:jc w:val="both"/>
        <w:rPr>
          <w:rFonts w:ascii="Times New Roman" w:hAnsi="Times New Roman" w:cs="Times New Roman"/>
          <w:sz w:val="24"/>
          <w:szCs w:val="24"/>
        </w:rPr>
      </w:pPr>
      <w:r w:rsidRPr="009C57AC">
        <w:rPr>
          <w:rFonts w:ascii="Times New Roman" w:hAnsi="Times New Roman" w:cs="Times New Roman"/>
          <w:sz w:val="24"/>
          <w:szCs w:val="24"/>
        </w:rPr>
        <w:t xml:space="preserve">If these provisions are related to Article 22D, paragraph (1) of the 1945 Constitution of the Republic of Indonesia, which essentially states that the DPD can propose bills related to regions, including the management of natural resources and other economic resources, as well as financial balance to the DPR, then the constitutional authority of the DPD in this regard is difficult to realize. It is improbable that the DPD can propose specific bills if it is not involved </w:t>
      </w:r>
      <w:r w:rsidRPr="009C57AC">
        <w:rPr>
          <w:rFonts w:ascii="Times New Roman" w:hAnsi="Times New Roman" w:cs="Times New Roman"/>
          <w:sz w:val="24"/>
          <w:szCs w:val="24"/>
        </w:rPr>
        <w:lastRenderedPageBreak/>
        <w:t>in the formulation of planning instruments for the creation of laws in areas that fall under the core competencies of the DPD as stipulated by the constitution.</w:t>
      </w:r>
      <w:r w:rsidRPr="00B92020">
        <w:rPr>
          <w:rFonts w:ascii="Times New Roman" w:hAnsi="Times New Roman" w:cs="Times New Roman"/>
          <w:sz w:val="24"/>
          <w:szCs w:val="24"/>
        </w:rPr>
        <w:t xml:space="preserve"> </w:t>
      </w:r>
    </w:p>
    <w:p w14:paraId="7510539F" w14:textId="25986817" w:rsidR="009C57AC" w:rsidRPr="009C57AC" w:rsidRDefault="009C57AC" w:rsidP="009C57AC">
      <w:pPr>
        <w:spacing w:after="0" w:line="360" w:lineRule="auto"/>
        <w:ind w:firstLine="851"/>
        <w:jc w:val="both"/>
        <w:rPr>
          <w:rFonts w:ascii="Times New Roman" w:hAnsi="Times New Roman" w:cs="Times New Roman"/>
          <w:sz w:val="24"/>
          <w:szCs w:val="24"/>
        </w:rPr>
      </w:pPr>
      <w:r w:rsidRPr="009C57AC">
        <w:rPr>
          <w:rFonts w:ascii="Times New Roman" w:hAnsi="Times New Roman" w:cs="Times New Roman"/>
          <w:sz w:val="24"/>
          <w:szCs w:val="24"/>
        </w:rPr>
        <w:t>In the context of national public policy, the Prolegnas is essentially an instrument for planning the formulation of public policies that are constructed within written legal norms in the form of laws.</w:t>
      </w:r>
      <w:r w:rsidRPr="00B92020">
        <w:rPr>
          <w:rStyle w:val="FootnoteReference"/>
          <w:rFonts w:ascii="Times New Roman" w:hAnsi="Times New Roman" w:cs="Times New Roman"/>
          <w:sz w:val="24"/>
          <w:szCs w:val="24"/>
        </w:rPr>
        <w:footnoteReference w:id="8"/>
      </w:r>
      <w:r w:rsidRPr="00B92020">
        <w:rPr>
          <w:rFonts w:ascii="Times New Roman" w:hAnsi="Times New Roman" w:cs="Times New Roman"/>
          <w:sz w:val="24"/>
          <w:szCs w:val="24"/>
        </w:rPr>
        <w:t xml:space="preserve"> The construction of public policy through laws is a necessity, so that such public policies can be enacted, have general applicability, and contain elements of compulsion.</w:t>
      </w:r>
    </w:p>
    <w:p w14:paraId="21DCC147" w14:textId="77777777" w:rsidR="00160FAA" w:rsidRPr="00160FAA" w:rsidRDefault="00160FAA" w:rsidP="00160FAA">
      <w:pPr>
        <w:spacing w:after="0" w:line="360" w:lineRule="auto"/>
        <w:ind w:firstLine="851"/>
        <w:jc w:val="both"/>
        <w:rPr>
          <w:rFonts w:ascii="Times New Roman" w:hAnsi="Times New Roman" w:cs="Times New Roman"/>
          <w:sz w:val="24"/>
          <w:szCs w:val="24"/>
        </w:rPr>
      </w:pPr>
      <w:r w:rsidRPr="00160FAA">
        <w:rPr>
          <w:rFonts w:ascii="Times New Roman" w:hAnsi="Times New Roman" w:cs="Times New Roman"/>
          <w:sz w:val="24"/>
          <w:szCs w:val="24"/>
        </w:rPr>
        <w:t>According to John Kingdon, in the formulation or alteration of public policy, including laws, there are at least three types of streams that need to be effectively managed and synergized, namely:</w:t>
      </w:r>
    </w:p>
    <w:p w14:paraId="2CEF8BF3" w14:textId="77777777" w:rsidR="00160FAA" w:rsidRPr="00160FAA" w:rsidRDefault="00160FAA" w:rsidP="00160FAA">
      <w:pPr>
        <w:numPr>
          <w:ilvl w:val="0"/>
          <w:numId w:val="1"/>
        </w:numPr>
        <w:tabs>
          <w:tab w:val="clear" w:pos="720"/>
        </w:tabs>
        <w:spacing w:after="0" w:line="360" w:lineRule="auto"/>
        <w:ind w:left="284" w:hanging="284"/>
        <w:jc w:val="both"/>
        <w:rPr>
          <w:rFonts w:ascii="Times New Roman" w:hAnsi="Times New Roman" w:cs="Times New Roman"/>
          <w:sz w:val="24"/>
          <w:szCs w:val="24"/>
        </w:rPr>
      </w:pPr>
      <w:r w:rsidRPr="00160FAA">
        <w:rPr>
          <w:rFonts w:ascii="Times New Roman" w:hAnsi="Times New Roman" w:cs="Times New Roman"/>
          <w:sz w:val="24"/>
          <w:szCs w:val="24"/>
        </w:rPr>
        <w:t>Stream of Problems;</w:t>
      </w:r>
    </w:p>
    <w:p w14:paraId="7CD8A3DE" w14:textId="77777777" w:rsidR="00160FAA" w:rsidRPr="00160FAA" w:rsidRDefault="00160FAA" w:rsidP="00160FAA">
      <w:pPr>
        <w:numPr>
          <w:ilvl w:val="0"/>
          <w:numId w:val="1"/>
        </w:numPr>
        <w:tabs>
          <w:tab w:val="clear" w:pos="720"/>
        </w:tabs>
        <w:spacing w:after="0" w:line="360" w:lineRule="auto"/>
        <w:ind w:left="284" w:hanging="284"/>
        <w:jc w:val="both"/>
        <w:rPr>
          <w:rFonts w:ascii="Times New Roman" w:hAnsi="Times New Roman" w:cs="Times New Roman"/>
          <w:sz w:val="24"/>
          <w:szCs w:val="24"/>
        </w:rPr>
      </w:pPr>
      <w:r w:rsidRPr="00160FAA">
        <w:rPr>
          <w:rFonts w:ascii="Times New Roman" w:hAnsi="Times New Roman" w:cs="Times New Roman"/>
          <w:sz w:val="24"/>
          <w:szCs w:val="24"/>
        </w:rPr>
        <w:t>Stream of Policies; and</w:t>
      </w:r>
    </w:p>
    <w:p w14:paraId="1E137D80" w14:textId="14A8AE19" w:rsidR="00160FAA" w:rsidRPr="00160FAA" w:rsidRDefault="00160FAA" w:rsidP="00160FAA">
      <w:pPr>
        <w:numPr>
          <w:ilvl w:val="0"/>
          <w:numId w:val="1"/>
        </w:numPr>
        <w:tabs>
          <w:tab w:val="clear" w:pos="720"/>
        </w:tabs>
        <w:spacing w:after="0" w:line="360" w:lineRule="auto"/>
        <w:ind w:left="284" w:hanging="284"/>
        <w:jc w:val="both"/>
        <w:rPr>
          <w:rFonts w:ascii="Times New Roman" w:hAnsi="Times New Roman" w:cs="Times New Roman"/>
          <w:sz w:val="24"/>
          <w:szCs w:val="24"/>
        </w:rPr>
      </w:pPr>
      <w:r w:rsidRPr="00160FAA">
        <w:rPr>
          <w:rFonts w:ascii="Times New Roman" w:hAnsi="Times New Roman" w:cs="Times New Roman"/>
          <w:sz w:val="24"/>
          <w:szCs w:val="24"/>
        </w:rPr>
        <w:t>Stream of Politics.</w:t>
      </w:r>
      <w:r w:rsidRPr="00B92020">
        <w:rPr>
          <w:rStyle w:val="FootnoteReference"/>
          <w:rFonts w:ascii="Times New Roman" w:hAnsi="Times New Roman" w:cs="Times New Roman"/>
          <w:sz w:val="24"/>
          <w:szCs w:val="24"/>
        </w:rPr>
        <w:footnoteReference w:id="9"/>
      </w:r>
    </w:p>
    <w:p w14:paraId="5626F540" w14:textId="77777777" w:rsidR="00BE7C2E" w:rsidRPr="00B92020" w:rsidRDefault="00BE7C2E" w:rsidP="00BE7C2E">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Among the three types of streams that need to be managed and synergized, particular attention should be given to the stream of problems and the stream of politics. Meanwhile, the stream of policies, although important, only concerns the technical aspects of public policy formulation that will be codified into laws, which have been procedurally outlined in Law No. 27 of 2009 (MD3 Law) and Law No. 12 of 2011 (P3 Law).</w:t>
      </w:r>
    </w:p>
    <w:p w14:paraId="78D0D565" w14:textId="77777777" w:rsidR="00BE7C2E" w:rsidRPr="00B92020" w:rsidRDefault="00BE7C2E" w:rsidP="00BE7C2E">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i/>
          <w:iCs/>
          <w:sz w:val="24"/>
          <w:szCs w:val="24"/>
        </w:rPr>
        <w:t>First</w:t>
      </w:r>
      <w:r w:rsidRPr="00B92020">
        <w:rPr>
          <w:rFonts w:ascii="Times New Roman" w:hAnsi="Times New Roman" w:cs="Times New Roman"/>
          <w:sz w:val="24"/>
          <w:szCs w:val="24"/>
        </w:rPr>
        <w:t>, regarding the stream of problems, the main issue is related to how to construct the agenda-setting of public policy. In the agenda-setting stage, several questions are often raised: Which laws need to be enacted or amended? Why is there a need to enact or amend these laws? What is the urgency and relevance of the establishment or amendment of these laws? This stream typically begins its activities by identifying problems. The objective is to clarify the issues, and based on this formulation, to offer solutions. Therefore, every law that is to be enacted should commence with policy research, enabling a clear understanding of the problems encountered, the reasons behind these problems, and whether solutions to these issues should be incorporated into the law or addressed through other regulatory frameworks.</w:t>
      </w:r>
    </w:p>
    <w:p w14:paraId="164F927F" w14:textId="77777777" w:rsidR="00BE7C2E" w:rsidRPr="00B92020" w:rsidRDefault="00BE7C2E" w:rsidP="00BE7C2E">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Article 18 of Law No. 12 of 2011 states that in the preparation of the National Legislative Program (Prolegnas) as referred to in Article 16, the compilation of the list of Draft Laws is based on:</w:t>
      </w:r>
    </w:p>
    <w:p w14:paraId="5BED7280" w14:textId="72FE21EF" w:rsidR="00BE7C2E" w:rsidRPr="00B92020" w:rsidRDefault="00BE7C2E" w:rsidP="00BE7C2E">
      <w:pPr>
        <w:pStyle w:val="ListParagraph"/>
        <w:numPr>
          <w:ilvl w:val="0"/>
          <w:numId w:val="2"/>
        </w:numPr>
        <w:spacing w:after="0" w:line="360" w:lineRule="auto"/>
        <w:ind w:left="284" w:hanging="142"/>
        <w:jc w:val="both"/>
        <w:rPr>
          <w:rFonts w:ascii="Times New Roman" w:hAnsi="Times New Roman" w:cs="Times New Roman"/>
          <w:sz w:val="24"/>
          <w:szCs w:val="24"/>
        </w:rPr>
      </w:pPr>
      <w:r w:rsidRPr="00B92020">
        <w:rPr>
          <w:rFonts w:ascii="Times New Roman" w:hAnsi="Times New Roman" w:cs="Times New Roman"/>
          <w:sz w:val="24"/>
          <w:szCs w:val="24"/>
        </w:rPr>
        <w:t>the mandate of the 1945 Constitution of the Republic of Indonesia;</w:t>
      </w:r>
    </w:p>
    <w:p w14:paraId="3F4E7D94" w14:textId="36BCD3EC" w:rsidR="00BE7C2E" w:rsidRPr="00B92020" w:rsidRDefault="00BE7C2E" w:rsidP="00BE7C2E">
      <w:pPr>
        <w:pStyle w:val="ListParagraph"/>
        <w:numPr>
          <w:ilvl w:val="0"/>
          <w:numId w:val="2"/>
        </w:numPr>
        <w:spacing w:after="0" w:line="360" w:lineRule="auto"/>
        <w:ind w:left="284" w:hanging="142"/>
        <w:jc w:val="both"/>
        <w:rPr>
          <w:rFonts w:ascii="Times New Roman" w:hAnsi="Times New Roman" w:cs="Times New Roman"/>
          <w:sz w:val="24"/>
          <w:szCs w:val="24"/>
        </w:rPr>
      </w:pPr>
      <w:r w:rsidRPr="00B92020">
        <w:rPr>
          <w:rFonts w:ascii="Times New Roman" w:hAnsi="Times New Roman" w:cs="Times New Roman"/>
          <w:sz w:val="24"/>
          <w:szCs w:val="24"/>
        </w:rPr>
        <w:lastRenderedPageBreak/>
        <w:t>the directives of the People’s Consultative Assembly (MPR);</w:t>
      </w:r>
    </w:p>
    <w:p w14:paraId="413471E1" w14:textId="1A4871FA" w:rsidR="00BE7C2E" w:rsidRPr="00B92020" w:rsidRDefault="00BE7C2E" w:rsidP="00BE7C2E">
      <w:pPr>
        <w:pStyle w:val="ListParagraph"/>
        <w:numPr>
          <w:ilvl w:val="0"/>
          <w:numId w:val="2"/>
        </w:numPr>
        <w:spacing w:after="0" w:line="360" w:lineRule="auto"/>
        <w:ind w:left="284" w:hanging="142"/>
        <w:jc w:val="both"/>
        <w:rPr>
          <w:rFonts w:ascii="Times New Roman" w:hAnsi="Times New Roman" w:cs="Times New Roman"/>
          <w:sz w:val="24"/>
          <w:szCs w:val="24"/>
        </w:rPr>
      </w:pPr>
      <w:r w:rsidRPr="00B92020">
        <w:rPr>
          <w:rFonts w:ascii="Times New Roman" w:hAnsi="Times New Roman" w:cs="Times New Roman"/>
          <w:sz w:val="24"/>
          <w:szCs w:val="24"/>
        </w:rPr>
        <w:t>the mandates of other laws;</w:t>
      </w:r>
    </w:p>
    <w:p w14:paraId="140199C9" w14:textId="19F2632F" w:rsidR="00BE7C2E" w:rsidRPr="00B92020" w:rsidRDefault="00BE7C2E" w:rsidP="00BE7C2E">
      <w:pPr>
        <w:pStyle w:val="ListParagraph"/>
        <w:numPr>
          <w:ilvl w:val="0"/>
          <w:numId w:val="2"/>
        </w:numPr>
        <w:spacing w:after="0" w:line="360" w:lineRule="auto"/>
        <w:ind w:left="284" w:hanging="142"/>
        <w:jc w:val="both"/>
        <w:rPr>
          <w:rFonts w:ascii="Times New Roman" w:hAnsi="Times New Roman" w:cs="Times New Roman"/>
          <w:sz w:val="24"/>
          <w:szCs w:val="24"/>
        </w:rPr>
      </w:pPr>
      <w:r w:rsidRPr="00B92020">
        <w:rPr>
          <w:rFonts w:ascii="Times New Roman" w:hAnsi="Times New Roman" w:cs="Times New Roman"/>
          <w:sz w:val="24"/>
          <w:szCs w:val="24"/>
        </w:rPr>
        <w:t>the national development planning system;</w:t>
      </w:r>
    </w:p>
    <w:p w14:paraId="1C756DB8" w14:textId="2941810F" w:rsidR="00BE7C2E" w:rsidRPr="00B92020" w:rsidRDefault="00BE7C2E" w:rsidP="00BE7C2E">
      <w:pPr>
        <w:pStyle w:val="ListParagraph"/>
        <w:numPr>
          <w:ilvl w:val="0"/>
          <w:numId w:val="2"/>
        </w:numPr>
        <w:spacing w:after="0" w:line="360" w:lineRule="auto"/>
        <w:ind w:left="284" w:hanging="142"/>
        <w:jc w:val="both"/>
        <w:rPr>
          <w:rFonts w:ascii="Times New Roman" w:hAnsi="Times New Roman" w:cs="Times New Roman"/>
          <w:sz w:val="24"/>
          <w:szCs w:val="24"/>
        </w:rPr>
      </w:pPr>
      <w:r w:rsidRPr="00B92020">
        <w:rPr>
          <w:rFonts w:ascii="Times New Roman" w:hAnsi="Times New Roman" w:cs="Times New Roman"/>
          <w:sz w:val="24"/>
          <w:szCs w:val="24"/>
        </w:rPr>
        <w:t>the national long-term development plan;</w:t>
      </w:r>
    </w:p>
    <w:p w14:paraId="5FFEDA13" w14:textId="0DCD1F3C" w:rsidR="00BE7C2E" w:rsidRPr="00B92020" w:rsidRDefault="00BE7C2E" w:rsidP="00BE7C2E">
      <w:pPr>
        <w:pStyle w:val="ListParagraph"/>
        <w:numPr>
          <w:ilvl w:val="0"/>
          <w:numId w:val="2"/>
        </w:numPr>
        <w:spacing w:after="0" w:line="360" w:lineRule="auto"/>
        <w:ind w:left="284" w:hanging="142"/>
        <w:jc w:val="both"/>
        <w:rPr>
          <w:rFonts w:ascii="Times New Roman" w:hAnsi="Times New Roman" w:cs="Times New Roman"/>
          <w:sz w:val="24"/>
          <w:szCs w:val="24"/>
        </w:rPr>
      </w:pPr>
      <w:r w:rsidRPr="00B92020">
        <w:rPr>
          <w:rFonts w:ascii="Times New Roman" w:hAnsi="Times New Roman" w:cs="Times New Roman"/>
          <w:sz w:val="24"/>
          <w:szCs w:val="24"/>
        </w:rPr>
        <w:t>the medium-term development plan;</w:t>
      </w:r>
    </w:p>
    <w:p w14:paraId="4F00E783" w14:textId="31DF7F88" w:rsidR="00BE7C2E" w:rsidRPr="00B92020" w:rsidRDefault="00BE7C2E" w:rsidP="00BE7C2E">
      <w:pPr>
        <w:pStyle w:val="ListParagraph"/>
        <w:numPr>
          <w:ilvl w:val="0"/>
          <w:numId w:val="2"/>
        </w:numPr>
        <w:spacing w:after="0" w:line="360" w:lineRule="auto"/>
        <w:ind w:left="284" w:hanging="142"/>
        <w:jc w:val="both"/>
        <w:rPr>
          <w:rFonts w:ascii="Times New Roman" w:hAnsi="Times New Roman" w:cs="Times New Roman"/>
          <w:sz w:val="24"/>
          <w:szCs w:val="24"/>
        </w:rPr>
      </w:pPr>
      <w:r w:rsidRPr="00B92020">
        <w:rPr>
          <w:rFonts w:ascii="Times New Roman" w:hAnsi="Times New Roman" w:cs="Times New Roman"/>
          <w:sz w:val="24"/>
          <w:szCs w:val="24"/>
        </w:rPr>
        <w:t>the government work plan and the strategic plan of the House of Representatives (DPR); and</w:t>
      </w:r>
    </w:p>
    <w:p w14:paraId="70BE79E8" w14:textId="73DB924C" w:rsidR="00BE7C2E" w:rsidRPr="00B92020" w:rsidRDefault="00BE7C2E" w:rsidP="00BE7C2E">
      <w:pPr>
        <w:pStyle w:val="ListParagraph"/>
        <w:numPr>
          <w:ilvl w:val="0"/>
          <w:numId w:val="2"/>
        </w:numPr>
        <w:spacing w:after="0" w:line="360" w:lineRule="auto"/>
        <w:ind w:left="284" w:hanging="142"/>
        <w:jc w:val="both"/>
        <w:rPr>
          <w:rFonts w:ascii="Times New Roman" w:hAnsi="Times New Roman" w:cs="Times New Roman"/>
          <w:sz w:val="24"/>
          <w:szCs w:val="24"/>
        </w:rPr>
      </w:pPr>
      <w:r w:rsidRPr="00B92020">
        <w:rPr>
          <w:rFonts w:ascii="Times New Roman" w:hAnsi="Times New Roman" w:cs="Times New Roman"/>
          <w:sz w:val="24"/>
          <w:szCs w:val="24"/>
        </w:rPr>
        <w:t>the aspirations and legal needs of the society.</w:t>
      </w:r>
    </w:p>
    <w:p w14:paraId="7E1038E3" w14:textId="7E87BAF6" w:rsidR="009C57AC" w:rsidRPr="00B72D82" w:rsidRDefault="00BE7C2E" w:rsidP="00BE7C2E">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Reflecting on the above provisions, the agenda-setting of laws as a form of the normativization of public policy is predominantly based on a "top-down" approach. This means that the agenda-setting process for laws must exist due to the directives of the Constitution or agreements among elites within the DPR and the Government. Such a construction often leads to deviations when the law-making process is treated as a "project" by ministries or the DPR's supporting bodies. On the other hand, while the agenda-setting process originating from "below" is possible, it is not clearly regulated.</w:t>
      </w:r>
    </w:p>
    <w:p w14:paraId="6EB9A2BE" w14:textId="77777777" w:rsidR="00E070BD" w:rsidRPr="00E070BD" w:rsidRDefault="00E070BD" w:rsidP="00E070BD">
      <w:pPr>
        <w:spacing w:after="0" w:line="360" w:lineRule="auto"/>
        <w:ind w:firstLine="851"/>
        <w:jc w:val="both"/>
        <w:rPr>
          <w:rFonts w:ascii="Times New Roman" w:hAnsi="Times New Roman" w:cs="Times New Roman"/>
          <w:sz w:val="24"/>
          <w:szCs w:val="24"/>
        </w:rPr>
      </w:pPr>
      <w:r w:rsidRPr="00E070BD">
        <w:rPr>
          <w:rFonts w:ascii="Times New Roman" w:hAnsi="Times New Roman" w:cs="Times New Roman"/>
          <w:sz w:val="24"/>
          <w:szCs w:val="24"/>
        </w:rPr>
        <w:t>Building on the above, to strengthen the agenda-setting in the legislative process, it is essential to base it on robust policy research. The results of this research subsequently serve as the academic foundation that determines the basis, urgency, and relevance of a law. However, it must be acknowledged that no matter how meticulous the problem identification is or how sharp the formulation of issues in the academic text, it will not automatically lead to change if the public does not perceive it as a serious problem.</w:t>
      </w:r>
    </w:p>
    <w:p w14:paraId="62A54EF4" w14:textId="77777777" w:rsidR="00E070BD" w:rsidRPr="00E070BD" w:rsidRDefault="00E070BD" w:rsidP="00E070BD">
      <w:pPr>
        <w:spacing w:after="0" w:line="360" w:lineRule="auto"/>
        <w:ind w:firstLine="851"/>
        <w:jc w:val="both"/>
        <w:rPr>
          <w:rFonts w:ascii="Times New Roman" w:hAnsi="Times New Roman" w:cs="Times New Roman"/>
          <w:sz w:val="24"/>
          <w:szCs w:val="24"/>
        </w:rPr>
      </w:pPr>
      <w:r w:rsidRPr="00E070BD">
        <w:rPr>
          <w:rFonts w:ascii="Times New Roman" w:hAnsi="Times New Roman" w:cs="Times New Roman"/>
          <w:sz w:val="24"/>
          <w:szCs w:val="24"/>
        </w:rPr>
        <w:t>The awareness and consensus on issues are what is referred to as the stream of problems. When the relevant parties recognize the existence of a problem and the analysis from the policy stream successfully offers an accurate formulation, only then is there a prospect for the problem to become a public agenda.</w:t>
      </w:r>
    </w:p>
    <w:p w14:paraId="7AD2D143" w14:textId="77777777" w:rsidR="00E070BD" w:rsidRPr="00E070BD" w:rsidRDefault="00E070BD" w:rsidP="00E070BD">
      <w:pPr>
        <w:spacing w:after="0" w:line="360" w:lineRule="auto"/>
        <w:ind w:firstLine="851"/>
        <w:jc w:val="both"/>
        <w:rPr>
          <w:rFonts w:ascii="Times New Roman" w:hAnsi="Times New Roman" w:cs="Times New Roman"/>
          <w:sz w:val="24"/>
          <w:szCs w:val="24"/>
        </w:rPr>
      </w:pPr>
      <w:r w:rsidRPr="00E070BD">
        <w:rPr>
          <w:rFonts w:ascii="Times New Roman" w:hAnsi="Times New Roman" w:cs="Times New Roman"/>
          <w:sz w:val="24"/>
          <w:szCs w:val="24"/>
        </w:rPr>
        <w:t>Secondly, within the stream of politics, the agenda-setting of public policy to be reflected in the planning of legislative programs is the most challenging to manage because, in reality, the legislative process is intertwined with the political interests of various political forces. Thus, it must be understood that the legislative process is a political process characterized by the negotiation of interests, culminating in a political compromise.</w:t>
      </w:r>
    </w:p>
    <w:p w14:paraId="04B2E364" w14:textId="77777777" w:rsidR="00E070BD" w:rsidRPr="00E070BD" w:rsidRDefault="00E070BD" w:rsidP="00E070BD">
      <w:pPr>
        <w:spacing w:after="0" w:line="360" w:lineRule="auto"/>
        <w:ind w:firstLine="851"/>
        <w:jc w:val="both"/>
        <w:rPr>
          <w:rFonts w:ascii="Times New Roman" w:hAnsi="Times New Roman" w:cs="Times New Roman"/>
          <w:sz w:val="24"/>
          <w:szCs w:val="24"/>
        </w:rPr>
      </w:pPr>
      <w:r w:rsidRPr="00E070BD">
        <w:rPr>
          <w:rFonts w:ascii="Times New Roman" w:hAnsi="Times New Roman" w:cs="Times New Roman"/>
          <w:sz w:val="24"/>
          <w:szCs w:val="24"/>
        </w:rPr>
        <w:t xml:space="preserve">Within the stream of politics, there are several national political components that play a significant role. The House of Representatives (DPR), as a political representative institution, utilizes the strength of its factions as an extension of political parties—even though they are not DPR’s supporting bodies—holding a decisive position in the planning of legislative </w:t>
      </w:r>
      <w:r w:rsidRPr="00E070BD">
        <w:rPr>
          <w:rFonts w:ascii="Times New Roman" w:hAnsi="Times New Roman" w:cs="Times New Roman"/>
          <w:sz w:val="24"/>
          <w:szCs w:val="24"/>
        </w:rPr>
        <w:lastRenderedPageBreak/>
        <w:t>programs. Meanwhile, within the government—specifically the ministries—there is also a political interest nuance because the highest decision-makers in each ministry are none other than ministers, most of whom come from political party elites. Thus, the setting of legislative planning through the Prolegnas becomes equivalent to the political interests brought by each of these national political components. The question then arises: what is the “fate” of regional interests in the setting of national political policy?</w:t>
      </w:r>
    </w:p>
    <w:p w14:paraId="217EF83F" w14:textId="77777777" w:rsidR="00B92020" w:rsidRPr="00B92020" w:rsidRDefault="00E070BD" w:rsidP="00B92020">
      <w:pPr>
        <w:spacing w:after="0" w:line="360" w:lineRule="auto"/>
        <w:ind w:firstLine="851"/>
        <w:jc w:val="both"/>
        <w:rPr>
          <w:rFonts w:ascii="Times New Roman" w:hAnsi="Times New Roman" w:cs="Times New Roman"/>
          <w:sz w:val="24"/>
          <w:szCs w:val="24"/>
        </w:rPr>
      </w:pPr>
      <w:r w:rsidRPr="00E070BD">
        <w:rPr>
          <w:rFonts w:ascii="Times New Roman" w:hAnsi="Times New Roman" w:cs="Times New Roman"/>
          <w:sz w:val="24"/>
          <w:szCs w:val="24"/>
        </w:rPr>
        <w:t>Starting from these two streams, it is clear that the national public policy setting through the Prolegnas has negated the bottom-up approach and its representation as a subsystem in national political policy. The bottom-up approach and its representation should be utilized as a reference for national political policy setting. Therefore, the existence of representative institutions that embody regional interests (the bottom-up approach) becomes essential. Consequently, the presence of the Regional Representative Council (DPD) essentially opens up new avenues for the emergence and development of new ideas, indicating that there are aspirations from the bottom-up approach</w:t>
      </w:r>
      <w:r w:rsidRPr="00B92020">
        <w:rPr>
          <w:rFonts w:ascii="Times New Roman" w:hAnsi="Times New Roman" w:cs="Times New Roman"/>
          <w:sz w:val="24"/>
          <w:szCs w:val="24"/>
        </w:rPr>
        <w:t xml:space="preserve"> </w:t>
      </w:r>
      <w:r w:rsidR="00B92020" w:rsidRPr="00B92020">
        <w:rPr>
          <w:rFonts w:ascii="Times New Roman" w:hAnsi="Times New Roman" w:cs="Times New Roman"/>
          <w:sz w:val="24"/>
          <w:szCs w:val="24"/>
        </w:rPr>
        <w:t>There exists a mechanism of checks and balances between the "top stream" and the "bottom stream" in the setting of public policy through the National Legislative Program (Prolegnas). Ultimately, this has led to a new pattern of central-regional relations within the constitutional structure that processes both of these bottom streams. As a result, the formulation of national public policy through Prolegnas utilizes the principle of diversity and applies different treatments to various regions. If this can be realized, the tensions in central-regional relations can be minimized, and the constitutional paradigm that emphasizes the principle of decentralized democracy can be effectively implemented in the drafting of Prolegnas.</w:t>
      </w:r>
    </w:p>
    <w:p w14:paraId="1F064402" w14:textId="77777777" w:rsidR="00B92020" w:rsidRPr="00B92020" w:rsidRDefault="00B92020" w:rsidP="00B92020">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Technically, the formation of legislation is governed by the Law on the National Legislation Program (UU P3). Within this law, there is an essential stage in the formation of legislation known as the National Legislative Program. This stage is regulated in Articles 16 to 23. However, once again, this law fails to account for the existence of the Regional Representative Council (DPD) in the legislative planning process.</w:t>
      </w:r>
    </w:p>
    <w:p w14:paraId="4E6BC044" w14:textId="77777777" w:rsidR="00B92020" w:rsidRPr="00B92020" w:rsidRDefault="00B92020" w:rsidP="00B92020">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Article 21, paragraph (3) of UU P3 asserts that the formulation of the Prolegnas within the House of Representatives (DPR) as referred to in paragraph (2) is carried out by considering proposals from factions, commissions, members of the DPR, DPD, and/or the public. From a normative perspective (behavioral criteria), the term "considering" is a verb that is non-binding. The word "considering" is derived from the noun "consideration," which means "an opinion of good or bad."</w:t>
      </w:r>
    </w:p>
    <w:p w14:paraId="16BBCBBE" w14:textId="77777777" w:rsidR="00B92020" w:rsidRPr="00B92020" w:rsidRDefault="00B92020" w:rsidP="00B92020">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lastRenderedPageBreak/>
        <w:t>The determination of whether an opinion is good or bad depends on the party receiving the consideration. It is clear from the provisions of this article that the determining party is none other than the legislative bodies within the DPR. Therefore, the assessment of what is considered good or bad heavily relies on the perceptions of these legislative bodies. This reveals the lack of binding force regarding the term "considering." In other words, the absence of binding force is highly dependent on the legislative bodies within the DPR, as stipulated in paragraph (2).</w:t>
      </w:r>
    </w:p>
    <w:p w14:paraId="3D840619" w14:textId="3FBC1427" w:rsidR="00B92020" w:rsidRDefault="00B92020" w:rsidP="00B92020">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Moreover, the provisions of this article also position the DPD (as the regional representation institution) on par with factions, commissions, and even members of the DPR. By placing the DPD in this position, constitutionally, the DPD is regarded as an auxiliary body of the DPR in the process of formulating the Prolegnas. This implies that in interpreting the provisions of Article 22D of the 1945 Constitution, the Government and the DPR have effectively contradicted the purpose of establishing the DPD under the 1945 Constitution as a high state institution that plays a role in implementing checks and balances within the framework of decentralized democracy, which embodies the "spirit" of the amendments to the 1945 Constitution of the Republic of Indonesia.</w:t>
      </w:r>
      <w:r>
        <w:rPr>
          <w:rFonts w:ascii="Times New Roman" w:hAnsi="Times New Roman" w:cs="Times New Roman"/>
          <w:sz w:val="24"/>
          <w:szCs w:val="24"/>
        </w:rPr>
        <w:t xml:space="preserve"> </w:t>
      </w:r>
    </w:p>
    <w:p w14:paraId="7A984D0C" w14:textId="41599FC5" w:rsidR="00B92020" w:rsidRPr="00B92020" w:rsidRDefault="00B92020" w:rsidP="00B92020">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The provisions discussed are in stark contradiction to Article 224, paragraph (1), letter i of Law No. 27 of 2009 on the Council of the People's Consultative Assembly (MD3), and do not demonstrate any synchronization or harmonization in the process of drafting the National Legislative Program. This is evident as the provision explicitly states that the Regional Representative Council (DPD) has the duty and authority to participate in the formulation of the national legislative program related to regional autonomy, central-regional relations, the establishment and expansion of regions, the management of natural resources and other resources, as well as issues pertaining to the financial balance between the central and regional governments.</w:t>
      </w:r>
    </w:p>
    <w:p w14:paraId="48D304A4" w14:textId="77777777" w:rsidR="00B92020" w:rsidRPr="00B92020" w:rsidRDefault="00B92020" w:rsidP="00B92020">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The term "participate" in the normative formulation of Article 224, paragraph (1), letter i, when interpreted semantically, carries the meaning of "together." This implies that in coordinating the preparation of the Prolegnas, every stakeholder mentioned in Article 21, paragraph (3) of Law No. 12 of 2011 on the National Legislation Program (P3) must be directly involved, rather than merely being consulted. The consequence of this semantic interpretation is that the DPD, as one of the stakeholder elements, is also granted the authority to approve the substance of the Prolegnas, especially concerning its duties and authorities as stipulated in Article 224, paragraph (1), letter i of Law No. 27 of 2009 on MD3.</w:t>
      </w:r>
    </w:p>
    <w:p w14:paraId="79773830" w14:textId="77777777" w:rsidR="00B92020" w:rsidRPr="00B92020" w:rsidRDefault="00B92020" w:rsidP="00B92020">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lastRenderedPageBreak/>
        <w:t>Furthermore, Article 23, paragraph (2) of Law No. 12 of 2011 on the Establishment of Legislation states that under certain conditions, the House of Representatives (DPR) or the President may propose Draft Laws outside the Prolegnas, which includes: a. To address extraordinary circumstances, conflicts, or natural disasters; and b. Other specific circumstances that ensure a national urgency regarding a Draft Law that can be jointly approved by the DPR's legislative bodies and the minister responsible for legal affairs.</w:t>
      </w:r>
    </w:p>
    <w:p w14:paraId="660201E2" w14:textId="18F9A9AE" w:rsidR="00B92020" w:rsidRDefault="00B92020" w:rsidP="00B92020">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From an empirical perspective, the specific circumstances referred to in the provisions of Article 23, paragraph (2) of Law P3 are more likely to occur within the territory of the Unitary State of the Republic of Indonesia, which is constitutionally guaranteed as the core competence of the DPD as an institution representing regional interests. However, the opportunity for the DPD to propose additional Draft Laws is not provided. Yet, the authority of the DPD to propose Draft Laws related to regional autonomy, central-regional relations, the establishment and expansion of regions, the management of natural resources and other economic resources, as well as matters related to the financial balance between the central and regional governments, is clearly recognized in Article 22D, paragraph (1) of the 1945 Constitution of the Republic of Indonesia and Article 223, paragraph (1) of the MD3 Law concerning the Structure and Position of the People's Consultative Assembly, the House of Representatives, the Regional Representative Council, and the Regional House of Representatives.</w:t>
      </w:r>
    </w:p>
    <w:p w14:paraId="700FBC70" w14:textId="77777777" w:rsidR="00B92020" w:rsidRPr="00B92020" w:rsidRDefault="00B92020" w:rsidP="00B92020">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The normative juridical formulation above results in difficulties in incorporating the plans proposed by the Regional Representative Council (DPD) regarding Draft Laws that may be suggested based on regional community aspirations to address specific circumstances as referred to in Article 23, paragraph (2) of Law No. 12 of 2011 on the National Legislative Program (P3).</w:t>
      </w:r>
    </w:p>
    <w:p w14:paraId="26BD14C7" w14:textId="77777777" w:rsidR="00B92020" w:rsidRPr="00B92020" w:rsidRDefault="00B92020" w:rsidP="00B92020">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From this analysis, it is evident that the regulation concerning the role of the DPD in legislative planning must be designed to actively participate in the formulation of the National Legislative Program (Prolegnas), which has traditionally been an agreement between the House of Representatives (DPR) and the President (Article 22, paragraph 1 of Law P3).</w:t>
      </w:r>
    </w:p>
    <w:p w14:paraId="3ED2F0BB" w14:textId="77777777" w:rsidR="00B92020" w:rsidRPr="00B92020" w:rsidRDefault="00B92020" w:rsidP="00B92020">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Article 224, paragraph (1), letter i of Law No. 27 of 2009 on the Council of the People's Consultative Assembly (MD3) stipulates that the DPD participates in the formulation of the national legislative program concerning regional autonomy, central-regional relations, the establishment and expansion of regions, the management of natural resources and other economic resources, as well as issues related to the financial balance between the central and regional governments.</w:t>
      </w:r>
    </w:p>
    <w:p w14:paraId="3D6A18FD" w14:textId="77777777" w:rsidR="00B92020" w:rsidRPr="00B92020" w:rsidRDefault="00B92020" w:rsidP="00B92020">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lastRenderedPageBreak/>
        <w:t>Regarding this normative formulation, the explanation of this article states that "participation" is understood as merely providing input actively by submitting a list of draft laws and discussing them with the Legislative Body of the DPR.</w:t>
      </w:r>
    </w:p>
    <w:p w14:paraId="2A4D80B2" w14:textId="77777777" w:rsidR="00B92020" w:rsidRPr="00B92020" w:rsidRDefault="00B92020" w:rsidP="00B92020">
      <w:pPr>
        <w:spacing w:after="0" w:line="360" w:lineRule="auto"/>
        <w:ind w:firstLine="851"/>
        <w:jc w:val="both"/>
        <w:rPr>
          <w:rFonts w:ascii="Times New Roman" w:hAnsi="Times New Roman" w:cs="Times New Roman"/>
          <w:sz w:val="24"/>
          <w:szCs w:val="24"/>
        </w:rPr>
      </w:pPr>
      <w:r w:rsidRPr="00B92020">
        <w:rPr>
          <w:rFonts w:ascii="Times New Roman" w:hAnsi="Times New Roman" w:cs="Times New Roman"/>
          <w:sz w:val="24"/>
          <w:szCs w:val="24"/>
        </w:rPr>
        <w:t>The regulation concerning the participation or non-participation of a parliamentary institution in the formulation of the National Legislative Program is governed by two different laws, which are not aligned. This means that Law P3 does not involve the DPD in the process of formulating the National Legislative Program, while on the other hand, Law MD3 regulates the DPD's participation in the planning of the National Legislative Program, albeit its participation is interpreted as merely providing active input. The disharmony between these two laws in interpreting the mandate of Article 22D of the 1945 Constitution of the Republic of Indonesia indicates that the constellation of political interests to actively involve the DPD within the legislative power holders (DPR and the President) is variable. However, this change fundamentally still conveys the notion that the paradigm of thought among the drafters of these two laws continues to utilize the old pattern, which regards the DPD as akin to a "fraction" or an auxiliary body of the DPR.</w:t>
      </w:r>
    </w:p>
    <w:p w14:paraId="5FA93273" w14:textId="77777777" w:rsidR="00B92020" w:rsidRDefault="00B92020" w:rsidP="00B92020">
      <w:pPr>
        <w:spacing w:after="0" w:line="360" w:lineRule="auto"/>
        <w:ind w:firstLine="851"/>
        <w:jc w:val="both"/>
        <w:rPr>
          <w:rFonts w:ascii="Times New Roman" w:hAnsi="Times New Roman" w:cs="Times New Roman"/>
          <w:sz w:val="24"/>
          <w:szCs w:val="24"/>
        </w:rPr>
      </w:pPr>
    </w:p>
    <w:p w14:paraId="01D904BC" w14:textId="77777777" w:rsidR="000B5B77" w:rsidRPr="000B5B77" w:rsidRDefault="000B5B77" w:rsidP="000B5B77">
      <w:pPr>
        <w:spacing w:after="0" w:line="360" w:lineRule="auto"/>
        <w:jc w:val="both"/>
        <w:rPr>
          <w:rFonts w:ascii="Times New Roman" w:hAnsi="Times New Roman" w:cs="Times New Roman"/>
          <w:sz w:val="24"/>
          <w:szCs w:val="24"/>
        </w:rPr>
      </w:pPr>
      <w:r w:rsidRPr="000B5B77">
        <w:rPr>
          <w:rFonts w:ascii="Times New Roman" w:hAnsi="Times New Roman" w:cs="Times New Roman"/>
          <w:b/>
          <w:bCs/>
          <w:sz w:val="24"/>
          <w:szCs w:val="24"/>
        </w:rPr>
        <w:t>A. Submission of Draft Laws (RUU)</w:t>
      </w:r>
    </w:p>
    <w:p w14:paraId="7D974C47" w14:textId="77777777" w:rsidR="000B5B77" w:rsidRPr="000B5B77" w:rsidRDefault="000B5B77" w:rsidP="000B5B77">
      <w:pPr>
        <w:spacing w:after="0" w:line="360" w:lineRule="auto"/>
        <w:ind w:firstLine="851"/>
        <w:jc w:val="both"/>
        <w:rPr>
          <w:rFonts w:ascii="Times New Roman" w:hAnsi="Times New Roman" w:cs="Times New Roman"/>
          <w:sz w:val="24"/>
          <w:szCs w:val="24"/>
        </w:rPr>
      </w:pPr>
      <w:r w:rsidRPr="000B5B77">
        <w:rPr>
          <w:rFonts w:ascii="Times New Roman" w:hAnsi="Times New Roman" w:cs="Times New Roman"/>
          <w:sz w:val="24"/>
          <w:szCs w:val="24"/>
        </w:rPr>
        <w:t>The mechanism for checks and balances in the submission of draft laws is regulated in several provisions of the 1945 Constitution of the Republic of Indonesia (UUD NRI 1945), namely:</w:t>
      </w:r>
    </w:p>
    <w:p w14:paraId="3056318A" w14:textId="77777777" w:rsidR="000B5B77" w:rsidRPr="000B5B77" w:rsidRDefault="000B5B77" w:rsidP="000B5B77">
      <w:pPr>
        <w:numPr>
          <w:ilvl w:val="0"/>
          <w:numId w:val="4"/>
        </w:numPr>
        <w:tabs>
          <w:tab w:val="clear" w:pos="720"/>
        </w:tabs>
        <w:spacing w:after="0" w:line="360" w:lineRule="auto"/>
        <w:ind w:left="284" w:hanging="284"/>
        <w:jc w:val="both"/>
        <w:rPr>
          <w:rFonts w:ascii="Times New Roman" w:hAnsi="Times New Roman" w:cs="Times New Roman"/>
          <w:sz w:val="24"/>
          <w:szCs w:val="24"/>
        </w:rPr>
      </w:pPr>
      <w:r w:rsidRPr="000B5B77">
        <w:rPr>
          <w:rFonts w:ascii="Times New Roman" w:hAnsi="Times New Roman" w:cs="Times New Roman"/>
          <w:b/>
          <w:bCs/>
          <w:sz w:val="24"/>
          <w:szCs w:val="24"/>
        </w:rPr>
        <w:t>Article 5 Paragraph (1):</w:t>
      </w:r>
      <w:r w:rsidRPr="000B5B77">
        <w:rPr>
          <w:rFonts w:ascii="Times New Roman" w:hAnsi="Times New Roman" w:cs="Times New Roman"/>
          <w:sz w:val="24"/>
          <w:szCs w:val="24"/>
        </w:rPr>
        <w:t xml:space="preserve"> The President has the right to submit a Draft Law to the DPR (People's Consultative Assembly);</w:t>
      </w:r>
    </w:p>
    <w:p w14:paraId="75B73B58" w14:textId="77777777" w:rsidR="000B5B77" w:rsidRPr="000B5B77" w:rsidRDefault="000B5B77" w:rsidP="000B5B77">
      <w:pPr>
        <w:numPr>
          <w:ilvl w:val="0"/>
          <w:numId w:val="4"/>
        </w:numPr>
        <w:tabs>
          <w:tab w:val="clear" w:pos="720"/>
        </w:tabs>
        <w:spacing w:after="0" w:line="360" w:lineRule="auto"/>
        <w:ind w:left="284" w:hanging="284"/>
        <w:jc w:val="both"/>
        <w:rPr>
          <w:rFonts w:ascii="Times New Roman" w:hAnsi="Times New Roman" w:cs="Times New Roman"/>
          <w:sz w:val="24"/>
          <w:szCs w:val="24"/>
        </w:rPr>
      </w:pPr>
      <w:r w:rsidRPr="000B5B77">
        <w:rPr>
          <w:rFonts w:ascii="Times New Roman" w:hAnsi="Times New Roman" w:cs="Times New Roman"/>
          <w:b/>
          <w:bCs/>
          <w:sz w:val="24"/>
          <w:szCs w:val="24"/>
        </w:rPr>
        <w:t>Article 21:</w:t>
      </w:r>
      <w:r w:rsidRPr="000B5B77">
        <w:rPr>
          <w:rFonts w:ascii="Times New Roman" w:hAnsi="Times New Roman" w:cs="Times New Roman"/>
          <w:sz w:val="24"/>
          <w:szCs w:val="24"/>
        </w:rPr>
        <w:t xml:space="preserve"> Members of the DPR have the right to propose a draft law; and</w:t>
      </w:r>
    </w:p>
    <w:p w14:paraId="116C925D" w14:textId="77777777" w:rsidR="000B5B77" w:rsidRPr="000B5B77" w:rsidRDefault="000B5B77" w:rsidP="000B5B77">
      <w:pPr>
        <w:numPr>
          <w:ilvl w:val="0"/>
          <w:numId w:val="4"/>
        </w:numPr>
        <w:tabs>
          <w:tab w:val="clear" w:pos="720"/>
        </w:tabs>
        <w:spacing w:after="0" w:line="360" w:lineRule="auto"/>
        <w:ind w:left="284" w:hanging="284"/>
        <w:jc w:val="both"/>
        <w:rPr>
          <w:rFonts w:ascii="Times New Roman" w:hAnsi="Times New Roman" w:cs="Times New Roman"/>
          <w:sz w:val="24"/>
          <w:szCs w:val="24"/>
        </w:rPr>
      </w:pPr>
      <w:r w:rsidRPr="000B5B77">
        <w:rPr>
          <w:rFonts w:ascii="Times New Roman" w:hAnsi="Times New Roman" w:cs="Times New Roman"/>
          <w:b/>
          <w:bCs/>
          <w:sz w:val="24"/>
          <w:szCs w:val="24"/>
        </w:rPr>
        <w:t>Article 22D Paragraph (1):</w:t>
      </w:r>
      <w:r w:rsidRPr="000B5B77">
        <w:rPr>
          <w:rFonts w:ascii="Times New Roman" w:hAnsi="Times New Roman" w:cs="Times New Roman"/>
          <w:sz w:val="24"/>
          <w:szCs w:val="24"/>
        </w:rPr>
        <w:t xml:space="preserve"> The DPD (Regional Representative Council) may submit to the DPR draft laws related to regional autonomy, the relationship between central and regional governments, the establishment and division of regions, management of natural resources and other economic resources, as well as those related to the financial balance between the central and regional governments.</w:t>
      </w:r>
    </w:p>
    <w:p w14:paraId="0D37A2C6" w14:textId="77777777" w:rsidR="000B5B77" w:rsidRPr="000B5B77" w:rsidRDefault="000B5B77" w:rsidP="000B5B77">
      <w:pPr>
        <w:spacing w:after="0" w:line="360" w:lineRule="auto"/>
        <w:ind w:firstLine="851"/>
        <w:jc w:val="both"/>
        <w:rPr>
          <w:rFonts w:ascii="Times New Roman" w:hAnsi="Times New Roman" w:cs="Times New Roman"/>
          <w:sz w:val="24"/>
          <w:szCs w:val="24"/>
        </w:rPr>
      </w:pPr>
      <w:r w:rsidRPr="000B5B77">
        <w:rPr>
          <w:rFonts w:ascii="Times New Roman" w:hAnsi="Times New Roman" w:cs="Times New Roman"/>
          <w:sz w:val="24"/>
          <w:szCs w:val="24"/>
        </w:rPr>
        <w:t>These three provisions can be categorized as regulations regarding checks and balances in the submission of a draft law, as they reflect mutual oversight among the interests of the executive branch as the implementer of laws, the political interests represented by the DPR (i.e., members of the DPR), and the regional interests represented by the DPD (not members).</w:t>
      </w:r>
    </w:p>
    <w:p w14:paraId="2A6C471E" w14:textId="77777777" w:rsidR="000B5B77" w:rsidRPr="000B5B77" w:rsidRDefault="000B5B77" w:rsidP="000B5B77">
      <w:pPr>
        <w:spacing w:after="0" w:line="360" w:lineRule="auto"/>
        <w:ind w:firstLine="851"/>
        <w:jc w:val="both"/>
        <w:rPr>
          <w:rFonts w:ascii="Times New Roman" w:hAnsi="Times New Roman" w:cs="Times New Roman"/>
          <w:sz w:val="24"/>
          <w:szCs w:val="24"/>
        </w:rPr>
      </w:pPr>
      <w:r w:rsidRPr="000B5B77">
        <w:rPr>
          <w:rFonts w:ascii="Times New Roman" w:hAnsi="Times New Roman" w:cs="Times New Roman"/>
          <w:sz w:val="24"/>
          <w:szCs w:val="24"/>
        </w:rPr>
        <w:lastRenderedPageBreak/>
        <w:t>However, it is important to note that these three provisions of the UUD NRI 1945 use different phrases. First, for the President and DPD, the phrase used is “Draft Law,” while for the members of the DPR, the phrase used is “Proposal for a Draft Law.” Second, the term “has the right” is used for the President and members of the DPR, while the term “may” is used for the DPD.</w:t>
      </w:r>
    </w:p>
    <w:p w14:paraId="56F8DE3E" w14:textId="6E85BDDD" w:rsidR="00EC547C" w:rsidRDefault="000B5B77" w:rsidP="000B5B77">
      <w:pPr>
        <w:spacing w:after="0" w:line="360" w:lineRule="auto"/>
        <w:ind w:firstLine="851"/>
        <w:jc w:val="both"/>
        <w:rPr>
          <w:rFonts w:ascii="Times New Roman" w:hAnsi="Times New Roman" w:cs="Times New Roman"/>
          <w:sz w:val="24"/>
          <w:szCs w:val="24"/>
        </w:rPr>
      </w:pPr>
      <w:r w:rsidRPr="000B5B77">
        <w:rPr>
          <w:rFonts w:ascii="Times New Roman" w:hAnsi="Times New Roman" w:cs="Times New Roman"/>
          <w:sz w:val="24"/>
          <w:szCs w:val="24"/>
        </w:rPr>
        <w:t>Such phrases undoubtedly raise interpretive questions: First, is a “Draft Law” synonymous with a “Proposal for a Draft Law”? Second, is the term “right” in the context of the President’s right to submit a draft law and the term “right” in the context of a member of the DPR’s right to submit a proposal for a draft law equivalent to the term “may” in the context of the DPD’s ability to submit a draft law?</w:t>
      </w:r>
      <w:r>
        <w:rPr>
          <w:rFonts w:ascii="Times New Roman" w:hAnsi="Times New Roman" w:cs="Times New Roman"/>
          <w:sz w:val="24"/>
          <w:szCs w:val="24"/>
        </w:rPr>
        <w:t xml:space="preserve"> </w:t>
      </w:r>
      <w:r w:rsidRPr="000B5B77">
        <w:rPr>
          <w:rFonts w:ascii="Times New Roman" w:hAnsi="Times New Roman" w:cs="Times New Roman"/>
          <w:sz w:val="24"/>
          <w:szCs w:val="24"/>
        </w:rPr>
        <w:t>The answers to these interpretive questions will vary, and until there is a binding constitutional interpretation through a decision by the Constitutional Court (MK) regarding the judicial review of laws against the UUD NRI 1945, these questions will not serve as references for the state institutions assigned to this task</w:t>
      </w:r>
      <w:r w:rsidRPr="000B5B77">
        <w:t xml:space="preserve"> </w:t>
      </w:r>
      <w:r w:rsidRPr="000B5B77">
        <w:rPr>
          <w:rFonts w:ascii="Times New Roman" w:hAnsi="Times New Roman" w:cs="Times New Roman"/>
          <w:sz w:val="24"/>
          <w:szCs w:val="24"/>
        </w:rPr>
        <w:t>Legislative Authority</w:t>
      </w:r>
      <w:r>
        <w:rPr>
          <w:rFonts w:ascii="Times New Roman" w:hAnsi="Times New Roman" w:cs="Times New Roman"/>
          <w:sz w:val="24"/>
          <w:szCs w:val="24"/>
        </w:rPr>
        <w:t xml:space="preserve">. </w:t>
      </w:r>
      <w:r w:rsidRPr="000B5B77">
        <w:rPr>
          <w:rFonts w:ascii="Times New Roman" w:hAnsi="Times New Roman" w:cs="Times New Roman"/>
          <w:sz w:val="24"/>
          <w:szCs w:val="24"/>
        </w:rPr>
        <w:t>Since the amendments to the 1945 Constitution of the Republic of Indonesia (UUD NRI 1945), it is noteworthy that the amended Constitution does not include an explanation, unlike the UUD NRI 1945 prior to the amendments. This absence of explanatory notes raises significant questions regarding the interpretation and application of legislative authority as delineated in the Constitution.</w:t>
      </w:r>
    </w:p>
    <w:p w14:paraId="3739504A" w14:textId="03DC8F76" w:rsidR="0014428E" w:rsidRDefault="0014428E" w:rsidP="000B5B77">
      <w:pPr>
        <w:spacing w:after="0" w:line="360" w:lineRule="auto"/>
        <w:ind w:firstLine="851"/>
        <w:jc w:val="both"/>
        <w:rPr>
          <w:rFonts w:ascii="Times New Roman" w:hAnsi="Times New Roman" w:cs="Times New Roman"/>
          <w:sz w:val="24"/>
          <w:szCs w:val="24"/>
        </w:rPr>
      </w:pPr>
      <w:r w:rsidRPr="0014428E">
        <w:rPr>
          <w:rFonts w:ascii="Times New Roman" w:hAnsi="Times New Roman" w:cs="Times New Roman"/>
          <w:sz w:val="24"/>
          <w:szCs w:val="24"/>
        </w:rPr>
        <w:t>Albert H. Y. Chen, a distinguished professor at the Faculty of Law, University of Hong Kong, uses the term "constitutional interpretation," distinguishing it from the "interpretation of statutes." Constitutional interpretation refers to the interpretation of provisions found in the constitution or fundamental laws, or, as Chen refers to it, the "interpretation of the Basic Law</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r w:rsidR="007054A7" w:rsidRPr="007054A7">
        <w:rPr>
          <w:rFonts w:ascii="Times New Roman" w:hAnsi="Times New Roman" w:cs="Times New Roman"/>
          <w:sz w:val="24"/>
          <w:szCs w:val="24"/>
        </w:rPr>
        <w:t>Constitutional interpretation</w:t>
      </w:r>
      <w:r w:rsidR="007054A7">
        <w:rPr>
          <w:rStyle w:val="FootnoteReference"/>
          <w:rFonts w:ascii="Times New Roman" w:hAnsi="Times New Roman" w:cs="Times New Roman"/>
          <w:sz w:val="24"/>
          <w:szCs w:val="24"/>
        </w:rPr>
        <w:footnoteReference w:id="11"/>
      </w:r>
      <w:r w:rsidR="007054A7" w:rsidRPr="007054A7">
        <w:rPr>
          <w:rFonts w:ascii="Times New Roman" w:hAnsi="Times New Roman" w:cs="Times New Roman"/>
          <w:sz w:val="24"/>
          <w:szCs w:val="24"/>
        </w:rPr>
        <w:t xml:space="preserve"> is an inseparable aspect of the judicial review process</w:t>
      </w:r>
      <w:r w:rsidR="00F80A35">
        <w:rPr>
          <w:rFonts w:ascii="Times New Roman" w:hAnsi="Times New Roman" w:cs="Times New Roman"/>
          <w:sz w:val="24"/>
          <w:szCs w:val="24"/>
        </w:rPr>
        <w:t xml:space="preserve">. </w:t>
      </w:r>
      <w:r w:rsidR="00F80A35" w:rsidRPr="00F80A35">
        <w:rPr>
          <w:rFonts w:ascii="Times New Roman" w:hAnsi="Times New Roman" w:cs="Times New Roman"/>
          <w:sz w:val="24"/>
          <w:szCs w:val="24"/>
        </w:rPr>
        <w:t>Chen states</w:t>
      </w:r>
      <w:r w:rsidR="00F80A35">
        <w:rPr>
          <w:rFonts w:ascii="Times New Roman" w:hAnsi="Times New Roman" w:cs="Times New Roman"/>
          <w:sz w:val="24"/>
          <w:szCs w:val="24"/>
        </w:rPr>
        <w:t>:</w:t>
      </w:r>
    </w:p>
    <w:p w14:paraId="298E6720" w14:textId="77777777" w:rsidR="00F80A35" w:rsidRPr="00F80A35" w:rsidRDefault="00F80A35" w:rsidP="00F80A35">
      <w:pPr>
        <w:spacing w:after="0" w:line="240" w:lineRule="auto"/>
        <w:ind w:left="851"/>
        <w:jc w:val="both"/>
        <w:rPr>
          <w:rFonts w:ascii="Times New Roman" w:hAnsi="Times New Roman" w:cs="Times New Roman"/>
          <w:sz w:val="24"/>
          <w:szCs w:val="24"/>
          <w:lang w:val="id-ID"/>
        </w:rPr>
      </w:pPr>
      <w:r w:rsidRPr="00F80A35">
        <w:rPr>
          <w:rFonts w:ascii="Times New Roman" w:hAnsi="Times New Roman" w:cs="Times New Roman"/>
          <w:i/>
          <w:sz w:val="24"/>
          <w:szCs w:val="24"/>
          <w:lang w:val="id-ID"/>
        </w:rPr>
        <w:lastRenderedPageBreak/>
        <w:t>The American experience demonstrates that constitutional interpretation is inseparable from judicial review of the constitutionality of governmental actions, particularly legislative enactments. Such judicial review was first established by the American Supreme Court in Marbury v Madison (1803)</w:t>
      </w:r>
      <w:r w:rsidRPr="00F80A35">
        <w:rPr>
          <w:rFonts w:ascii="Times New Roman" w:hAnsi="Times New Roman" w:cs="Times New Roman"/>
          <w:sz w:val="24"/>
          <w:szCs w:val="24"/>
          <w:lang w:val="id-ID"/>
        </w:rPr>
        <w:t>.</w:t>
      </w:r>
      <w:r w:rsidRPr="00F80A35">
        <w:rPr>
          <w:rFonts w:ascii="Times New Roman" w:hAnsi="Times New Roman" w:cs="Times New Roman"/>
          <w:sz w:val="24"/>
          <w:szCs w:val="24"/>
          <w:vertAlign w:val="superscript"/>
          <w:lang w:val="id-ID"/>
        </w:rPr>
        <w:footnoteReference w:id="12"/>
      </w:r>
    </w:p>
    <w:p w14:paraId="070FDB67" w14:textId="77777777" w:rsidR="00F80A35" w:rsidRDefault="00F80A35" w:rsidP="00F80A35">
      <w:pPr>
        <w:spacing w:after="0" w:line="240" w:lineRule="auto"/>
        <w:ind w:left="851"/>
        <w:jc w:val="both"/>
        <w:rPr>
          <w:rFonts w:ascii="Times New Roman" w:hAnsi="Times New Roman" w:cs="Times New Roman"/>
          <w:sz w:val="24"/>
          <w:szCs w:val="24"/>
        </w:rPr>
      </w:pPr>
    </w:p>
    <w:p w14:paraId="3A9E2692" w14:textId="0AF9FC53" w:rsidR="00F80A35" w:rsidRPr="00F80A35" w:rsidRDefault="00F80A35" w:rsidP="00F80A35">
      <w:pPr>
        <w:spacing w:after="0" w:line="360" w:lineRule="auto"/>
        <w:ind w:firstLine="851"/>
        <w:jc w:val="both"/>
        <w:rPr>
          <w:rFonts w:ascii="Times New Roman" w:hAnsi="Times New Roman" w:cs="Times New Roman"/>
          <w:sz w:val="24"/>
          <w:szCs w:val="24"/>
        </w:rPr>
      </w:pPr>
      <w:r w:rsidRPr="00F80A35">
        <w:rPr>
          <w:rFonts w:ascii="Times New Roman" w:hAnsi="Times New Roman" w:cs="Times New Roman"/>
          <w:sz w:val="24"/>
          <w:szCs w:val="24"/>
        </w:rPr>
        <w:t>The constitutional interpretation referred to here is an interpretation employed as a method in the discovery of law (</w:t>
      </w:r>
      <w:r w:rsidRPr="00F80A35">
        <w:rPr>
          <w:rFonts w:ascii="Times New Roman" w:hAnsi="Times New Roman" w:cs="Times New Roman"/>
          <w:i/>
          <w:iCs/>
          <w:sz w:val="24"/>
          <w:szCs w:val="24"/>
        </w:rPr>
        <w:t>rechtvinding</w:t>
      </w:r>
      <w:r w:rsidRPr="00F80A35">
        <w:rPr>
          <w:rFonts w:ascii="Times New Roman" w:hAnsi="Times New Roman" w:cs="Times New Roman"/>
          <w:sz w:val="24"/>
          <w:szCs w:val="24"/>
        </w:rPr>
        <w:t>)</w:t>
      </w:r>
      <w:r w:rsidR="008922A7">
        <w:rPr>
          <w:rStyle w:val="FootnoteReference"/>
          <w:rFonts w:ascii="Times New Roman" w:hAnsi="Times New Roman" w:cs="Times New Roman"/>
          <w:sz w:val="24"/>
          <w:szCs w:val="24"/>
        </w:rPr>
        <w:footnoteReference w:id="13"/>
      </w:r>
      <w:r w:rsidRPr="00F80A35">
        <w:rPr>
          <w:rFonts w:ascii="Times New Roman" w:hAnsi="Times New Roman" w:cs="Times New Roman"/>
          <w:sz w:val="24"/>
          <w:szCs w:val="24"/>
        </w:rPr>
        <w:t xml:space="preserve"> based on the constitution or fundamental law, as practiced or developed in the Constitutional Court's judicial processes. Interpretation methods are necessary because legislation cannot always be drafted in a manner that is entirely clear and leaves no room for interpretation.</w:t>
      </w:r>
    </w:p>
    <w:p w14:paraId="603A71B9" w14:textId="089395FF" w:rsidR="00F80A35" w:rsidRDefault="00F80A35" w:rsidP="00F80A35">
      <w:pPr>
        <w:spacing w:after="0" w:line="360" w:lineRule="auto"/>
        <w:ind w:firstLine="851"/>
        <w:jc w:val="both"/>
        <w:rPr>
          <w:rFonts w:ascii="Times New Roman" w:hAnsi="Times New Roman" w:cs="Times New Roman"/>
          <w:sz w:val="24"/>
          <w:szCs w:val="24"/>
        </w:rPr>
      </w:pPr>
      <w:r w:rsidRPr="00F80A35">
        <w:rPr>
          <w:rFonts w:ascii="Times New Roman" w:hAnsi="Times New Roman" w:cs="Times New Roman"/>
          <w:sz w:val="24"/>
          <w:szCs w:val="24"/>
        </w:rPr>
        <w:t>Satjipto Rahardjo argues that one of the inherent characteristics of legislation or written law is the authoritative nature of its provisions.</w:t>
      </w:r>
      <w:r>
        <w:rPr>
          <w:rStyle w:val="FootnoteReference"/>
          <w:rFonts w:ascii="Times New Roman" w:hAnsi="Times New Roman" w:cs="Times New Roman"/>
          <w:sz w:val="24"/>
          <w:szCs w:val="24"/>
        </w:rPr>
        <w:footnoteReference w:id="14"/>
      </w:r>
      <w:r w:rsidRPr="00F80A35">
        <w:rPr>
          <w:rFonts w:ascii="Times New Roman" w:hAnsi="Times New Roman" w:cs="Times New Roman"/>
          <w:sz w:val="24"/>
          <w:szCs w:val="24"/>
        </w:rPr>
        <w:t xml:space="preserve"> However, the expression in written form or </w:t>
      </w:r>
      <w:r w:rsidRPr="00F80A35">
        <w:rPr>
          <w:rFonts w:ascii="Times New Roman" w:hAnsi="Times New Roman" w:cs="Times New Roman"/>
          <w:i/>
          <w:iCs/>
          <w:sz w:val="24"/>
          <w:szCs w:val="24"/>
        </w:rPr>
        <w:t>litera scripta</w:t>
      </w:r>
      <w:r w:rsidRPr="00F80A35">
        <w:rPr>
          <w:rFonts w:ascii="Times New Roman" w:hAnsi="Times New Roman" w:cs="Times New Roman"/>
          <w:sz w:val="24"/>
          <w:szCs w:val="24"/>
        </w:rPr>
        <w:t xml:space="preserve"> is essentially only a medium for conveying certain ideas or thoughts.</w:t>
      </w:r>
      <w:r w:rsidR="00CF5DB0">
        <w:rPr>
          <w:rFonts w:ascii="Times New Roman" w:hAnsi="Times New Roman" w:cs="Times New Roman"/>
          <w:sz w:val="24"/>
          <w:szCs w:val="24"/>
        </w:rPr>
        <w:t xml:space="preserve"> </w:t>
      </w:r>
      <w:r w:rsidR="00CF5DB0" w:rsidRPr="00CF5DB0">
        <w:rPr>
          <w:rFonts w:ascii="Times New Roman" w:hAnsi="Times New Roman" w:cs="Times New Roman"/>
          <w:sz w:val="24"/>
          <w:szCs w:val="24"/>
        </w:rPr>
        <w:t>The idea or thought intended to be expressed is sometimes referred to as the "spirit" of a regulation. The effort to uncover this spirit is inherently a necessity, particularly in relation to statutory law, which is written in form. This effort is undertaken by the judiciary through the process of interpretation or construction. Interpretation or construction is a process carried out by the court in order to ascertain the meaning of statutory law, aimed at achieving legal certainty.</w:t>
      </w:r>
      <w:r w:rsidR="00CF5DB0">
        <w:rPr>
          <w:rStyle w:val="FootnoteReference"/>
          <w:rFonts w:ascii="Times New Roman" w:hAnsi="Times New Roman" w:cs="Times New Roman"/>
          <w:sz w:val="24"/>
          <w:szCs w:val="24"/>
        </w:rPr>
        <w:footnoteReference w:id="15"/>
      </w:r>
    </w:p>
    <w:p w14:paraId="74588A67" w14:textId="4BD34697" w:rsidR="00CF5DB0" w:rsidRPr="00F80A35" w:rsidRDefault="00CF5DB0" w:rsidP="00F80A35">
      <w:pPr>
        <w:spacing w:after="0" w:line="360" w:lineRule="auto"/>
        <w:ind w:firstLine="851"/>
        <w:jc w:val="both"/>
        <w:rPr>
          <w:rFonts w:ascii="Times New Roman" w:hAnsi="Times New Roman" w:cs="Times New Roman"/>
          <w:sz w:val="24"/>
          <w:szCs w:val="24"/>
        </w:rPr>
      </w:pPr>
      <w:r w:rsidRPr="00CF5DB0">
        <w:rPr>
          <w:rFonts w:ascii="Times New Roman" w:hAnsi="Times New Roman" w:cs="Times New Roman"/>
          <w:sz w:val="24"/>
          <w:szCs w:val="24"/>
        </w:rPr>
        <w:t>Sudikno Mertokusumo and A. Pitlo argue that interpretation is one of the methods of legal discovery, providing a clear explanation of statutory texts to determine the scope of rules in relation to specific events. Judicial interpretation serves as an explanation aimed at achieving an application of legal provisions that is socially acceptable to concrete cases. This method of interpretation functions as a tool to ascertain the meaning of the law. Its justification lies in its utility for the practical application of specific provisions, rather than in the method itself.</w:t>
      </w:r>
      <w:r>
        <w:rPr>
          <w:rStyle w:val="FootnoteReference"/>
          <w:rFonts w:ascii="Times New Roman" w:hAnsi="Times New Roman" w:cs="Times New Roman"/>
          <w:sz w:val="24"/>
          <w:szCs w:val="24"/>
        </w:rPr>
        <w:footnoteReference w:id="16"/>
      </w:r>
    </w:p>
    <w:p w14:paraId="2CB5882F" w14:textId="2CF882E6" w:rsidR="00F80A35" w:rsidRDefault="007A14D4" w:rsidP="00F80A35">
      <w:pPr>
        <w:spacing w:after="0" w:line="360" w:lineRule="auto"/>
        <w:ind w:firstLine="851"/>
        <w:jc w:val="both"/>
        <w:rPr>
          <w:rFonts w:ascii="Times New Roman" w:hAnsi="Times New Roman" w:cs="Times New Roman"/>
          <w:sz w:val="24"/>
          <w:szCs w:val="24"/>
        </w:rPr>
      </w:pPr>
      <w:r w:rsidRPr="007A14D4">
        <w:rPr>
          <w:rFonts w:ascii="Times New Roman" w:hAnsi="Times New Roman" w:cs="Times New Roman"/>
          <w:sz w:val="24"/>
          <w:szCs w:val="24"/>
        </w:rPr>
        <w:t>In the Netherlands and most Western-Continental countries, the concept of legal discovery (</w:t>
      </w:r>
      <w:r w:rsidRPr="007A14D4">
        <w:rPr>
          <w:rFonts w:ascii="Times New Roman" w:hAnsi="Times New Roman" w:cs="Times New Roman"/>
          <w:i/>
          <w:iCs/>
          <w:sz w:val="24"/>
          <w:szCs w:val="24"/>
        </w:rPr>
        <w:t>rechtsvinding</w:t>
      </w:r>
      <w:r w:rsidRPr="007A14D4">
        <w:rPr>
          <w:rFonts w:ascii="Times New Roman" w:hAnsi="Times New Roman" w:cs="Times New Roman"/>
          <w:sz w:val="24"/>
          <w:szCs w:val="24"/>
        </w:rPr>
        <w:t xml:space="preserve">) is associated with </w:t>
      </w:r>
      <w:r w:rsidRPr="007A14D4">
        <w:rPr>
          <w:rFonts w:ascii="Times New Roman" w:hAnsi="Times New Roman" w:cs="Times New Roman"/>
          <w:i/>
          <w:iCs/>
          <w:sz w:val="24"/>
          <w:szCs w:val="24"/>
        </w:rPr>
        <w:t>legism</w:t>
      </w:r>
      <w:r w:rsidRPr="007A14D4">
        <w:rPr>
          <w:rFonts w:ascii="Times New Roman" w:hAnsi="Times New Roman" w:cs="Times New Roman"/>
          <w:sz w:val="24"/>
          <w:szCs w:val="24"/>
        </w:rPr>
        <w:t xml:space="preserve">, a school of thought in legal theory that equates law with legislation. Kelsen even stated, "law is nothing other than the command of the authorities expressed in legislation." The idea that legal discovery should inherently possess </w:t>
      </w:r>
      <w:r w:rsidRPr="007A14D4">
        <w:rPr>
          <w:rFonts w:ascii="Times New Roman" w:hAnsi="Times New Roman" w:cs="Times New Roman"/>
          <w:sz w:val="24"/>
          <w:szCs w:val="24"/>
        </w:rPr>
        <w:lastRenderedPageBreak/>
        <w:t xml:space="preserve">a highly formalistic or logical character is also emphasized by the </w:t>
      </w:r>
      <w:r w:rsidRPr="007A14D4">
        <w:rPr>
          <w:rFonts w:ascii="Times New Roman" w:hAnsi="Times New Roman" w:cs="Times New Roman"/>
          <w:i/>
          <w:iCs/>
          <w:sz w:val="24"/>
          <w:szCs w:val="24"/>
        </w:rPr>
        <w:t>Begriffsjurisprudenz</w:t>
      </w:r>
      <w:r w:rsidRPr="007A14D4">
        <w:rPr>
          <w:rFonts w:ascii="Times New Roman" w:hAnsi="Times New Roman" w:cs="Times New Roman"/>
          <w:sz w:val="24"/>
          <w:szCs w:val="24"/>
        </w:rPr>
        <w:t xml:space="preserve"> legal theory school. This approach was adopted by Germanic countries in the 19th century.</w:t>
      </w:r>
      <w:r>
        <w:rPr>
          <w:rStyle w:val="FootnoteReference"/>
          <w:rFonts w:ascii="Times New Roman" w:hAnsi="Times New Roman" w:cs="Times New Roman"/>
          <w:sz w:val="24"/>
          <w:szCs w:val="24"/>
        </w:rPr>
        <w:footnoteReference w:id="17"/>
      </w:r>
    </w:p>
    <w:p w14:paraId="5815CCA5" w14:textId="668CF7EC" w:rsidR="000B5B77" w:rsidRDefault="00F056B1" w:rsidP="000B5B77">
      <w:pPr>
        <w:spacing w:after="0" w:line="360" w:lineRule="auto"/>
        <w:ind w:firstLine="851"/>
        <w:jc w:val="both"/>
        <w:rPr>
          <w:rFonts w:ascii="Times New Roman" w:hAnsi="Times New Roman" w:cs="Times New Roman"/>
          <w:sz w:val="24"/>
          <w:szCs w:val="24"/>
        </w:rPr>
      </w:pPr>
      <w:r w:rsidRPr="00F056B1">
        <w:rPr>
          <w:rFonts w:ascii="Times New Roman" w:hAnsi="Times New Roman" w:cs="Times New Roman"/>
          <w:sz w:val="24"/>
          <w:szCs w:val="24"/>
        </w:rPr>
        <w:t>Interpretation of the constitution is a crucial activity in law and legal science. Interpretation serves as a method to understand the meaning embedded in legal texts, enabling their application in resolving legal issues or making decisions on concrete matters.</w:t>
      </w:r>
      <w:r>
        <w:rPr>
          <w:rStyle w:val="FootnoteReference"/>
          <w:rFonts w:ascii="Times New Roman" w:hAnsi="Times New Roman" w:cs="Times New Roman"/>
          <w:sz w:val="24"/>
          <w:szCs w:val="24"/>
        </w:rPr>
        <w:footnoteReference w:id="18"/>
      </w:r>
      <w:r w:rsidR="00F84677">
        <w:rPr>
          <w:rFonts w:ascii="Times New Roman" w:hAnsi="Times New Roman" w:cs="Times New Roman"/>
          <w:sz w:val="24"/>
          <w:szCs w:val="24"/>
        </w:rPr>
        <w:t xml:space="preserve"> </w:t>
      </w:r>
      <w:r w:rsidR="00F84677" w:rsidRPr="00F84677">
        <w:rPr>
          <w:rFonts w:ascii="Times New Roman" w:hAnsi="Times New Roman" w:cs="Times New Roman"/>
          <w:sz w:val="24"/>
          <w:szCs w:val="24"/>
        </w:rPr>
        <w:t>In Constitutional Law, judicial interpretation serves as a method of constitutional change by adding to, reducing, or refining the meaning within the text of the Constitution through (i) formal amendment, (ii) judicial interpretation, and (iii) constitutional usage and conventions.</w:t>
      </w:r>
    </w:p>
    <w:p w14:paraId="628A9267" w14:textId="7881F977" w:rsidR="004F61ED" w:rsidRDefault="004F61ED" w:rsidP="004F61ED">
      <w:pPr>
        <w:spacing w:after="0" w:line="360" w:lineRule="auto"/>
        <w:ind w:firstLine="851"/>
        <w:jc w:val="both"/>
        <w:rPr>
          <w:rFonts w:ascii="Times New Roman" w:hAnsi="Times New Roman" w:cs="Times New Roman"/>
          <w:sz w:val="24"/>
          <w:szCs w:val="24"/>
        </w:rPr>
      </w:pPr>
      <w:r w:rsidRPr="004F61ED">
        <w:rPr>
          <w:rFonts w:ascii="Times New Roman" w:hAnsi="Times New Roman" w:cs="Times New Roman"/>
          <w:sz w:val="24"/>
          <w:szCs w:val="24"/>
        </w:rPr>
        <w:t>Satjipto Rahardjo, citing Fitzgerald's views, broadly distinguishes interpretation into two types:</w:t>
      </w:r>
      <w:r>
        <w:rPr>
          <w:rFonts w:ascii="Times New Roman" w:hAnsi="Times New Roman" w:cs="Times New Roman"/>
          <w:sz w:val="24"/>
          <w:szCs w:val="24"/>
        </w:rPr>
        <w:t xml:space="preserve"> </w:t>
      </w:r>
      <w:r w:rsidRPr="004F61ED">
        <w:rPr>
          <w:rFonts w:ascii="Times New Roman" w:hAnsi="Times New Roman" w:cs="Times New Roman"/>
          <w:sz w:val="24"/>
          <w:szCs w:val="24"/>
        </w:rPr>
        <w:t>literal interpretation and</w:t>
      </w:r>
      <w:r>
        <w:rPr>
          <w:rFonts w:ascii="Times New Roman" w:hAnsi="Times New Roman" w:cs="Times New Roman"/>
          <w:sz w:val="24"/>
          <w:szCs w:val="24"/>
        </w:rPr>
        <w:t xml:space="preserve"> </w:t>
      </w:r>
      <w:r w:rsidRPr="004F61ED">
        <w:rPr>
          <w:rFonts w:ascii="Times New Roman" w:hAnsi="Times New Roman" w:cs="Times New Roman"/>
          <w:sz w:val="24"/>
          <w:szCs w:val="24"/>
        </w:rPr>
        <w:t>functional interpretation.</w:t>
      </w:r>
      <w:r>
        <w:rPr>
          <w:rFonts w:ascii="Times New Roman" w:hAnsi="Times New Roman" w:cs="Times New Roman"/>
          <w:sz w:val="24"/>
          <w:szCs w:val="24"/>
        </w:rPr>
        <w:t xml:space="preserve"> </w:t>
      </w:r>
      <w:r w:rsidRPr="004F61ED">
        <w:rPr>
          <w:rFonts w:ascii="Times New Roman" w:hAnsi="Times New Roman" w:cs="Times New Roman"/>
          <w:sz w:val="24"/>
          <w:szCs w:val="24"/>
        </w:rPr>
        <w:t xml:space="preserve">Literal interpretation strictly relies on the wording of the regulation. In other words, it does not deviate from the </w:t>
      </w:r>
      <w:r w:rsidRPr="004F61ED">
        <w:rPr>
          <w:rFonts w:ascii="Times New Roman" w:hAnsi="Times New Roman" w:cs="Times New Roman"/>
          <w:i/>
          <w:iCs/>
          <w:sz w:val="24"/>
          <w:szCs w:val="24"/>
        </w:rPr>
        <w:t>litera legis</w:t>
      </w:r>
      <w:r w:rsidRPr="004F61ED">
        <w:rPr>
          <w:rFonts w:ascii="Times New Roman" w:hAnsi="Times New Roman" w:cs="Times New Roman"/>
          <w:sz w:val="24"/>
          <w:szCs w:val="24"/>
        </w:rPr>
        <w:t>. Functional interpretation, also known as free interpretation, is considered free because it does not strictly adhere to the wording of the regulation (</w:t>
      </w:r>
      <w:r w:rsidRPr="004F61ED">
        <w:rPr>
          <w:rFonts w:ascii="Times New Roman" w:hAnsi="Times New Roman" w:cs="Times New Roman"/>
          <w:i/>
          <w:iCs/>
          <w:sz w:val="24"/>
          <w:szCs w:val="24"/>
        </w:rPr>
        <w:t>litera legis</w:t>
      </w:r>
      <w:r w:rsidRPr="004F61ED">
        <w:rPr>
          <w:rFonts w:ascii="Times New Roman" w:hAnsi="Times New Roman" w:cs="Times New Roman"/>
          <w:sz w:val="24"/>
          <w:szCs w:val="24"/>
        </w:rPr>
        <w:t>). This type of interpretation seeks to understand the true intent of a regulation by employing various other sources that are considered to provide clearer and more satisfactory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9"/>
      </w:r>
    </w:p>
    <w:p w14:paraId="1ED81F86" w14:textId="10AD420C" w:rsidR="00CA6CCD" w:rsidRDefault="00CA6CCD" w:rsidP="00CA6CCD">
      <w:pPr>
        <w:spacing w:after="0" w:line="360" w:lineRule="auto"/>
        <w:ind w:firstLine="851"/>
        <w:jc w:val="both"/>
        <w:rPr>
          <w:rFonts w:ascii="Times New Roman" w:hAnsi="Times New Roman" w:cs="Times New Roman"/>
          <w:sz w:val="24"/>
          <w:szCs w:val="24"/>
        </w:rPr>
      </w:pPr>
      <w:r w:rsidRPr="00CA6CCD">
        <w:rPr>
          <w:rFonts w:ascii="Times New Roman" w:hAnsi="Times New Roman" w:cs="Times New Roman"/>
          <w:sz w:val="24"/>
          <w:szCs w:val="24"/>
        </w:rPr>
        <w:t>In addition to the various methods of interpretation mentioned above, based on the findings of legal discovery (</w:t>
      </w:r>
      <w:r w:rsidRPr="00CA6CCD">
        <w:rPr>
          <w:rFonts w:ascii="Times New Roman" w:hAnsi="Times New Roman" w:cs="Times New Roman"/>
          <w:i/>
          <w:iCs/>
          <w:sz w:val="24"/>
          <w:szCs w:val="24"/>
        </w:rPr>
        <w:t>rechtsvinding</w:t>
      </w:r>
      <w:r w:rsidRPr="00CA6CCD">
        <w:rPr>
          <w:rFonts w:ascii="Times New Roman" w:hAnsi="Times New Roman" w:cs="Times New Roman"/>
          <w:sz w:val="24"/>
          <w:szCs w:val="24"/>
        </w:rPr>
        <w:t>), interpretation methods can be categorized into two types:</w:t>
      </w:r>
      <w:r>
        <w:rPr>
          <w:rFonts w:ascii="Times New Roman" w:hAnsi="Times New Roman" w:cs="Times New Roman"/>
          <w:sz w:val="24"/>
          <w:szCs w:val="24"/>
        </w:rPr>
        <w:t xml:space="preserve"> </w:t>
      </w:r>
      <w:r w:rsidRPr="00CA6CCD">
        <w:rPr>
          <w:rFonts w:ascii="Times New Roman" w:hAnsi="Times New Roman" w:cs="Times New Roman"/>
          <w:sz w:val="24"/>
          <w:szCs w:val="24"/>
        </w:rPr>
        <w:t>restrictive interpretation</w:t>
      </w:r>
      <w:r>
        <w:rPr>
          <w:rFonts w:ascii="Times New Roman" w:hAnsi="Times New Roman" w:cs="Times New Roman"/>
          <w:sz w:val="24"/>
          <w:szCs w:val="24"/>
        </w:rPr>
        <w:t xml:space="preserve">. </w:t>
      </w:r>
      <w:r w:rsidRPr="00CA6CCD">
        <w:rPr>
          <w:rFonts w:ascii="Times New Roman" w:hAnsi="Times New Roman" w:cs="Times New Roman"/>
          <w:sz w:val="24"/>
          <w:szCs w:val="24"/>
        </w:rPr>
        <w:t>and</w:t>
      </w:r>
      <w:r>
        <w:rPr>
          <w:rFonts w:ascii="Times New Roman" w:hAnsi="Times New Roman" w:cs="Times New Roman"/>
          <w:sz w:val="24"/>
          <w:szCs w:val="24"/>
        </w:rPr>
        <w:t xml:space="preserve"> </w:t>
      </w:r>
      <w:r w:rsidRPr="00CA6CCD">
        <w:rPr>
          <w:rFonts w:ascii="Times New Roman" w:hAnsi="Times New Roman" w:cs="Times New Roman"/>
          <w:sz w:val="24"/>
          <w:szCs w:val="24"/>
        </w:rPr>
        <w:t>extensive interpretation.</w:t>
      </w:r>
      <w:r>
        <w:rPr>
          <w:rFonts w:ascii="Times New Roman" w:hAnsi="Times New Roman" w:cs="Times New Roman"/>
          <w:sz w:val="24"/>
          <w:szCs w:val="24"/>
        </w:rPr>
        <w:t xml:space="preserve"> </w:t>
      </w:r>
      <w:r w:rsidRPr="00CA6CCD">
        <w:rPr>
          <w:rFonts w:ascii="Times New Roman" w:hAnsi="Times New Roman" w:cs="Times New Roman"/>
          <w:sz w:val="24"/>
          <w:szCs w:val="24"/>
        </w:rPr>
        <w:t xml:space="preserve">Restrictive interpretation is an explanation or interpretation that is limiting. In clarifying a provision of the law, the scope of that provision is confined. The principle employed in this method of interpretation is the principle of </w:t>
      </w:r>
      <w:r w:rsidRPr="00CA6CCD">
        <w:rPr>
          <w:rFonts w:ascii="Times New Roman" w:hAnsi="Times New Roman" w:cs="Times New Roman"/>
          <w:i/>
          <w:iCs/>
          <w:sz w:val="24"/>
          <w:szCs w:val="24"/>
        </w:rPr>
        <w:t>lex certa</w:t>
      </w:r>
      <w:r w:rsidRPr="00CA6CCD">
        <w:rPr>
          <w:rFonts w:ascii="Times New Roman" w:hAnsi="Times New Roman" w:cs="Times New Roman"/>
          <w:sz w:val="24"/>
          <w:szCs w:val="24"/>
        </w:rPr>
        <w:t>, which holds that a matter within statutory regulations cannot be expanded or interpreted beyond what is explicitly stated in the legislation (</w:t>
      </w:r>
      <w:r w:rsidRPr="00CA6CCD">
        <w:rPr>
          <w:rFonts w:ascii="Times New Roman" w:hAnsi="Times New Roman" w:cs="Times New Roman"/>
          <w:i/>
          <w:iCs/>
          <w:sz w:val="24"/>
          <w:szCs w:val="24"/>
        </w:rPr>
        <w:t>lex stricta</w:t>
      </w:r>
      <w:r w:rsidRPr="00CA6CCD">
        <w:rPr>
          <w:rFonts w:ascii="Times New Roman" w:hAnsi="Times New Roman" w:cs="Times New Roman"/>
          <w:sz w:val="24"/>
          <w:szCs w:val="24"/>
        </w:rPr>
        <w:t>). In other words, a provision of law cannot be broadened except as explicitly and clearly stipulated in the legislation itself. On the other hand, extensive interpretation is an explanation that goes beyond the limits set by grammatical interpretation.</w:t>
      </w:r>
      <w:r>
        <w:rPr>
          <w:rStyle w:val="FootnoteReference"/>
          <w:rFonts w:ascii="Times New Roman" w:hAnsi="Times New Roman" w:cs="Times New Roman"/>
          <w:sz w:val="24"/>
          <w:szCs w:val="24"/>
        </w:rPr>
        <w:footnoteReference w:id="20"/>
      </w:r>
    </w:p>
    <w:p w14:paraId="5D67A1C6" w14:textId="77777777" w:rsidR="00235DAC" w:rsidRPr="00235DAC" w:rsidRDefault="00235DAC" w:rsidP="00235DAC">
      <w:pPr>
        <w:spacing w:after="0" w:line="360" w:lineRule="auto"/>
        <w:ind w:firstLine="851"/>
        <w:jc w:val="both"/>
        <w:rPr>
          <w:rFonts w:ascii="Times New Roman" w:hAnsi="Times New Roman" w:cs="Times New Roman"/>
          <w:sz w:val="24"/>
          <w:szCs w:val="24"/>
        </w:rPr>
      </w:pPr>
      <w:r w:rsidRPr="00235DAC">
        <w:rPr>
          <w:rFonts w:ascii="Times New Roman" w:hAnsi="Times New Roman" w:cs="Times New Roman"/>
          <w:sz w:val="24"/>
          <w:szCs w:val="24"/>
        </w:rPr>
        <w:t>Sudikno Mertokusumo and A. Pitlo identify several methods of interpretation commonly used by judges (courts), as follows:</w:t>
      </w:r>
    </w:p>
    <w:p w14:paraId="6BB607B6" w14:textId="33A4DCF3" w:rsidR="00235DAC" w:rsidRPr="00235DAC" w:rsidRDefault="00235DAC" w:rsidP="00235DAC">
      <w:pPr>
        <w:pStyle w:val="ListParagraph"/>
        <w:numPr>
          <w:ilvl w:val="0"/>
          <w:numId w:val="6"/>
        </w:numPr>
        <w:spacing w:after="0" w:line="360" w:lineRule="auto"/>
        <w:ind w:left="426" w:hanging="426"/>
        <w:jc w:val="both"/>
        <w:rPr>
          <w:rFonts w:ascii="Times New Roman" w:hAnsi="Times New Roman" w:cs="Times New Roman"/>
          <w:sz w:val="24"/>
          <w:szCs w:val="24"/>
        </w:rPr>
      </w:pPr>
      <w:r w:rsidRPr="00235DAC">
        <w:rPr>
          <w:rFonts w:ascii="Times New Roman" w:hAnsi="Times New Roman" w:cs="Times New Roman"/>
          <w:sz w:val="24"/>
          <w:szCs w:val="24"/>
        </w:rPr>
        <w:t>grammatical interpretation or interpretation according to language;</w:t>
      </w:r>
    </w:p>
    <w:p w14:paraId="4152C8B4" w14:textId="1EF3541B" w:rsidR="00235DAC" w:rsidRPr="00235DAC" w:rsidRDefault="00235DAC" w:rsidP="00235DAC">
      <w:pPr>
        <w:pStyle w:val="ListParagraph"/>
        <w:numPr>
          <w:ilvl w:val="0"/>
          <w:numId w:val="6"/>
        </w:numPr>
        <w:spacing w:after="0" w:line="360" w:lineRule="auto"/>
        <w:ind w:left="426" w:hanging="426"/>
        <w:jc w:val="both"/>
        <w:rPr>
          <w:rFonts w:ascii="Times New Roman" w:hAnsi="Times New Roman" w:cs="Times New Roman"/>
          <w:sz w:val="24"/>
          <w:szCs w:val="24"/>
        </w:rPr>
      </w:pPr>
      <w:r w:rsidRPr="00235DAC">
        <w:rPr>
          <w:rFonts w:ascii="Times New Roman" w:hAnsi="Times New Roman" w:cs="Times New Roman"/>
          <w:sz w:val="24"/>
          <w:szCs w:val="24"/>
        </w:rPr>
        <w:t>teleological or sociological interpretation;</w:t>
      </w:r>
    </w:p>
    <w:p w14:paraId="1FEA7756" w14:textId="64B3665C" w:rsidR="00235DAC" w:rsidRPr="00235DAC" w:rsidRDefault="00235DAC" w:rsidP="00235DAC">
      <w:pPr>
        <w:pStyle w:val="ListParagraph"/>
        <w:numPr>
          <w:ilvl w:val="0"/>
          <w:numId w:val="6"/>
        </w:numPr>
        <w:spacing w:after="0" w:line="360" w:lineRule="auto"/>
        <w:ind w:left="426" w:hanging="426"/>
        <w:jc w:val="both"/>
        <w:rPr>
          <w:rFonts w:ascii="Times New Roman" w:hAnsi="Times New Roman" w:cs="Times New Roman"/>
          <w:sz w:val="24"/>
          <w:szCs w:val="24"/>
        </w:rPr>
      </w:pPr>
      <w:r w:rsidRPr="00235DAC">
        <w:rPr>
          <w:rFonts w:ascii="Times New Roman" w:hAnsi="Times New Roman" w:cs="Times New Roman"/>
          <w:sz w:val="24"/>
          <w:szCs w:val="24"/>
        </w:rPr>
        <w:lastRenderedPageBreak/>
        <w:t>systematic or logical interpretation;</w:t>
      </w:r>
    </w:p>
    <w:p w14:paraId="00F0DED6" w14:textId="2E3560D0" w:rsidR="00235DAC" w:rsidRPr="00235DAC" w:rsidRDefault="00235DAC" w:rsidP="00235DAC">
      <w:pPr>
        <w:pStyle w:val="ListParagraph"/>
        <w:numPr>
          <w:ilvl w:val="0"/>
          <w:numId w:val="6"/>
        </w:numPr>
        <w:spacing w:after="0" w:line="360" w:lineRule="auto"/>
        <w:ind w:left="426" w:hanging="426"/>
        <w:jc w:val="both"/>
        <w:rPr>
          <w:rFonts w:ascii="Times New Roman" w:hAnsi="Times New Roman" w:cs="Times New Roman"/>
          <w:sz w:val="24"/>
          <w:szCs w:val="24"/>
        </w:rPr>
      </w:pPr>
      <w:r w:rsidRPr="00235DAC">
        <w:rPr>
          <w:rFonts w:ascii="Times New Roman" w:hAnsi="Times New Roman" w:cs="Times New Roman"/>
          <w:sz w:val="24"/>
          <w:szCs w:val="24"/>
        </w:rPr>
        <w:t>historical interpretation;</w:t>
      </w:r>
    </w:p>
    <w:p w14:paraId="33A15AE2" w14:textId="07CE81FE" w:rsidR="00235DAC" w:rsidRPr="00235DAC" w:rsidRDefault="00235DAC" w:rsidP="00235DAC">
      <w:pPr>
        <w:pStyle w:val="ListParagraph"/>
        <w:numPr>
          <w:ilvl w:val="0"/>
          <w:numId w:val="6"/>
        </w:numPr>
        <w:spacing w:after="0" w:line="360" w:lineRule="auto"/>
        <w:ind w:left="426" w:hanging="426"/>
        <w:jc w:val="both"/>
        <w:rPr>
          <w:rFonts w:ascii="Times New Roman" w:hAnsi="Times New Roman" w:cs="Times New Roman"/>
          <w:sz w:val="24"/>
          <w:szCs w:val="24"/>
        </w:rPr>
      </w:pPr>
      <w:r w:rsidRPr="00235DAC">
        <w:rPr>
          <w:rFonts w:ascii="Times New Roman" w:hAnsi="Times New Roman" w:cs="Times New Roman"/>
          <w:sz w:val="24"/>
          <w:szCs w:val="24"/>
        </w:rPr>
        <w:t>comparative interpretation;</w:t>
      </w:r>
    </w:p>
    <w:p w14:paraId="291E2B84" w14:textId="494476AF" w:rsidR="00235DAC" w:rsidRPr="00235DAC" w:rsidRDefault="00235DAC" w:rsidP="00235DAC">
      <w:pPr>
        <w:pStyle w:val="ListParagraph"/>
        <w:numPr>
          <w:ilvl w:val="0"/>
          <w:numId w:val="6"/>
        </w:numPr>
        <w:spacing w:after="0" w:line="360" w:lineRule="auto"/>
        <w:ind w:left="426" w:hanging="426"/>
        <w:jc w:val="both"/>
        <w:rPr>
          <w:rFonts w:ascii="Times New Roman" w:hAnsi="Times New Roman" w:cs="Times New Roman"/>
          <w:sz w:val="24"/>
          <w:szCs w:val="24"/>
        </w:rPr>
      </w:pPr>
      <w:r w:rsidRPr="00235DAC">
        <w:rPr>
          <w:rFonts w:ascii="Times New Roman" w:hAnsi="Times New Roman" w:cs="Times New Roman"/>
          <w:sz w:val="24"/>
          <w:szCs w:val="24"/>
        </w:rPr>
        <w:t>futuristic interpretation.</w:t>
      </w:r>
      <w:r>
        <w:rPr>
          <w:rStyle w:val="FootnoteReference"/>
          <w:rFonts w:ascii="Times New Roman" w:hAnsi="Times New Roman" w:cs="Times New Roman"/>
          <w:sz w:val="24"/>
          <w:szCs w:val="24"/>
        </w:rPr>
        <w:footnoteReference w:id="21"/>
      </w:r>
    </w:p>
    <w:p w14:paraId="6A9A16FC" w14:textId="05BBC265" w:rsidR="00CA6CCD" w:rsidRDefault="00265AB1" w:rsidP="00265AB1">
      <w:pPr>
        <w:spacing w:after="0" w:line="360" w:lineRule="auto"/>
        <w:jc w:val="both"/>
        <w:rPr>
          <w:rFonts w:ascii="Times New Roman" w:hAnsi="Times New Roman" w:cs="Times New Roman"/>
          <w:sz w:val="24"/>
          <w:szCs w:val="24"/>
        </w:rPr>
      </w:pPr>
      <w:r w:rsidRPr="00265AB1">
        <w:rPr>
          <w:rFonts w:ascii="Times New Roman" w:hAnsi="Times New Roman" w:cs="Times New Roman"/>
          <w:sz w:val="24"/>
          <w:szCs w:val="24"/>
        </w:rPr>
        <w:t>According to Sudikno Mertokusumo and A. Pitlo, authentic interpretation is not included in the doctrine of interpretation. Authentic interpretation refers to the explanations provided by the law that are found within the text of the law itself, rather than in the Supplement to the State Gazette.</w:t>
      </w:r>
      <w:r>
        <w:rPr>
          <w:rStyle w:val="FootnoteReference"/>
          <w:rFonts w:ascii="Times New Roman" w:hAnsi="Times New Roman" w:cs="Times New Roman"/>
          <w:sz w:val="24"/>
          <w:szCs w:val="24"/>
        </w:rPr>
        <w:footnoteReference w:id="22"/>
      </w:r>
    </w:p>
    <w:p w14:paraId="562D7BD0" w14:textId="1AC3CB06" w:rsidR="00265AB1" w:rsidRDefault="00265AB1" w:rsidP="00265AB1">
      <w:pPr>
        <w:spacing w:after="0" w:line="360" w:lineRule="auto"/>
        <w:ind w:firstLine="851"/>
        <w:jc w:val="both"/>
        <w:rPr>
          <w:rFonts w:ascii="Times New Roman" w:hAnsi="Times New Roman" w:cs="Times New Roman"/>
          <w:sz w:val="24"/>
          <w:szCs w:val="24"/>
        </w:rPr>
      </w:pPr>
      <w:r w:rsidRPr="00265AB1">
        <w:rPr>
          <w:rFonts w:ascii="Times New Roman" w:hAnsi="Times New Roman" w:cs="Times New Roman"/>
          <w:sz w:val="24"/>
          <w:szCs w:val="24"/>
        </w:rPr>
        <w:t>Since the amendment of the 1945 Constitution of the Republic of Indonesia, the Explanation has no longer been part of the Constitution.</w:t>
      </w:r>
      <w:r>
        <w:rPr>
          <w:rStyle w:val="FootnoteReference"/>
          <w:rFonts w:ascii="Times New Roman" w:hAnsi="Times New Roman" w:cs="Times New Roman"/>
          <w:sz w:val="24"/>
          <w:szCs w:val="24"/>
        </w:rPr>
        <w:footnoteReference w:id="23"/>
      </w:r>
      <w:r w:rsidR="00EE73BF">
        <w:rPr>
          <w:rFonts w:ascii="Times New Roman" w:hAnsi="Times New Roman" w:cs="Times New Roman"/>
          <w:sz w:val="24"/>
          <w:szCs w:val="24"/>
        </w:rPr>
        <w:t xml:space="preserve"> </w:t>
      </w:r>
      <w:r w:rsidR="00EE73BF" w:rsidRPr="00EE73BF">
        <w:rPr>
          <w:rFonts w:ascii="Times New Roman" w:hAnsi="Times New Roman" w:cs="Times New Roman"/>
          <w:sz w:val="24"/>
          <w:szCs w:val="24"/>
        </w:rPr>
        <w:t>Such conditions lead to several provisions in the 1945 Constitution of the Republic of Indonesia often generating debates in the realm of interpretation. These debates remain confined to academic circles and lack binding authority for implementation. This is unless the interpretative debates are subsequently resolved by the Constitutional Court through the judicial review of laws against the 1945 Constitution. This means that, without a case for judicial review, the Constitutional Court does not possess the authority to interpret the meanings contained within any provision of the 1945 Constitution. In short, the Constitutional Court only "waits for the ball" when a law is submitted for review.</w:t>
      </w:r>
      <w:r w:rsidR="0017002D">
        <w:rPr>
          <w:rFonts w:ascii="Times New Roman" w:hAnsi="Times New Roman" w:cs="Times New Roman"/>
          <w:sz w:val="24"/>
          <w:szCs w:val="24"/>
        </w:rPr>
        <w:t xml:space="preserve"> </w:t>
      </w:r>
      <w:r w:rsidR="0017002D" w:rsidRPr="0017002D">
        <w:rPr>
          <w:rFonts w:ascii="Times New Roman" w:hAnsi="Times New Roman" w:cs="Times New Roman"/>
          <w:sz w:val="24"/>
          <w:szCs w:val="24"/>
        </w:rPr>
        <w:t>As a result of this situation, the main law-making regime, namely the DPR (People's Consultative Assembly) and the President, engages in unilateral interpretation when formulating, discussing, and jointly approving a bill into law. Consequently, the empirical data shows that the cases of judicial review of laws against the 1945 Constitution of the Republic of Indonesia submitted to the Constitutional Court are increasingly accumulating. The most recent case involves the review of the MD3 Law and the P3 Law by the DPD (Regional Representative Council), as the drafters of these laws are deemed to have interpreted the provisions of Article 22D, Paragraphs (1) and (2) of the 1945 Constitution in a manner that deviates from the spirit contained within those articles.</w:t>
      </w:r>
    </w:p>
    <w:p w14:paraId="036F5A0D" w14:textId="77777777" w:rsidR="00834DAF" w:rsidRPr="00834DAF" w:rsidRDefault="00834DAF" w:rsidP="00834DAF">
      <w:pPr>
        <w:spacing w:after="0" w:line="360" w:lineRule="auto"/>
        <w:ind w:firstLine="851"/>
        <w:jc w:val="both"/>
        <w:rPr>
          <w:rFonts w:ascii="Times New Roman" w:hAnsi="Times New Roman" w:cs="Times New Roman"/>
          <w:sz w:val="24"/>
          <w:szCs w:val="24"/>
        </w:rPr>
      </w:pPr>
      <w:r w:rsidRPr="00834DAF">
        <w:rPr>
          <w:rFonts w:ascii="Times New Roman" w:hAnsi="Times New Roman" w:cs="Times New Roman"/>
          <w:sz w:val="24"/>
          <w:szCs w:val="24"/>
        </w:rPr>
        <w:t xml:space="preserve">The elimination of the DPD's authority in the legislative process has systematically commenced since the early stages of the bill submission process. The MD3 Law does not establish a mechanism for bills proposed by the DPD. According to the structure of the 1945 Constitution of the Republic of Indonesia, bills may originate from the DPR (through proposals </w:t>
      </w:r>
      <w:r w:rsidRPr="00834DAF">
        <w:rPr>
          <w:rFonts w:ascii="Times New Roman" w:hAnsi="Times New Roman" w:cs="Times New Roman"/>
          <w:sz w:val="24"/>
          <w:szCs w:val="24"/>
        </w:rPr>
        <w:lastRenderedPageBreak/>
        <w:t>from its members), the President, and the DPD. Article 143, paragraph (5) of the MD3 Law asserts: “Draft laws prepared by the DPR shall be submitted by a letter from the leadership of the DPR to the President.” Meanwhile, Article 144 clarifies: “Draft laws originating from the President shall be submitted by a letter from the President to the leadership of the DPR.” The question arises regarding the "fate" of specific bills originating from the DPD.</w:t>
      </w:r>
    </w:p>
    <w:p w14:paraId="61DE5619" w14:textId="77777777" w:rsidR="00834DAF" w:rsidRPr="00834DAF" w:rsidRDefault="00834DAF" w:rsidP="00834DAF">
      <w:pPr>
        <w:spacing w:after="0" w:line="360" w:lineRule="auto"/>
        <w:ind w:firstLine="851"/>
        <w:jc w:val="both"/>
        <w:rPr>
          <w:rFonts w:ascii="Times New Roman" w:hAnsi="Times New Roman" w:cs="Times New Roman"/>
          <w:sz w:val="24"/>
          <w:szCs w:val="24"/>
        </w:rPr>
      </w:pPr>
      <w:r w:rsidRPr="00834DAF">
        <w:rPr>
          <w:rFonts w:ascii="Times New Roman" w:hAnsi="Times New Roman" w:cs="Times New Roman"/>
          <w:sz w:val="24"/>
          <w:szCs w:val="24"/>
        </w:rPr>
        <w:t>As stated in Article 22D, paragraph (1) of the 1945 Constitution, the DPD has the authority to propose certain bills to the DPR. This constitutional norm construction is "similar" to the provision in Article 5, paragraph (1) of the 1945 Constitution, which states: “The President has the right to propose draft laws to the DPR.” The difference lies in the fact that the President uses the term “has the right,” while the DPD uses the term “may.” Regardless of the use of these terms, the authority to propose bills between the President and the DPD is fundamentally the same; both are granted the authority to propose bills, and both types of bills are submitted to the DPR.</w:t>
      </w:r>
    </w:p>
    <w:p w14:paraId="2999F1D2" w14:textId="77777777" w:rsidR="00834DAF" w:rsidRPr="00834DAF" w:rsidRDefault="00834DAF" w:rsidP="00834DAF">
      <w:pPr>
        <w:spacing w:after="0" w:line="360" w:lineRule="auto"/>
        <w:ind w:firstLine="851"/>
        <w:jc w:val="both"/>
        <w:rPr>
          <w:rFonts w:ascii="Times New Roman" w:hAnsi="Times New Roman" w:cs="Times New Roman"/>
          <w:sz w:val="24"/>
          <w:szCs w:val="24"/>
        </w:rPr>
      </w:pPr>
      <w:r w:rsidRPr="00834DAF">
        <w:rPr>
          <w:rFonts w:ascii="Times New Roman" w:hAnsi="Times New Roman" w:cs="Times New Roman"/>
          <w:sz w:val="24"/>
          <w:szCs w:val="24"/>
        </w:rPr>
        <w:t>However, the MD3 Law, which essentially interprets the provisions of Article 22D, paragraph (1) of the 1945 Constitution, stipulates otherwise, and can even be said to reduce the meaning of Article 22D, paragraph (1). Article 147, paragraph (3) of the MD3 Law states:</w:t>
      </w:r>
    </w:p>
    <w:p w14:paraId="20E10738" w14:textId="77777777" w:rsidR="00CB6A9E" w:rsidRDefault="00CB6A9E" w:rsidP="00CB6A9E">
      <w:pPr>
        <w:pStyle w:val="ListParagraph"/>
        <w:numPr>
          <w:ilvl w:val="0"/>
          <w:numId w:val="8"/>
        </w:numPr>
        <w:spacing w:after="0" w:line="240" w:lineRule="auto"/>
        <w:jc w:val="both"/>
        <w:rPr>
          <w:rFonts w:ascii="Times New Roman" w:hAnsi="Times New Roman" w:cs="Times New Roman"/>
          <w:sz w:val="24"/>
          <w:szCs w:val="24"/>
        </w:rPr>
      </w:pPr>
      <w:r w:rsidRPr="00CB6A9E">
        <w:rPr>
          <w:rFonts w:ascii="Times New Roman" w:hAnsi="Times New Roman" w:cs="Times New Roman"/>
          <w:sz w:val="24"/>
          <w:szCs w:val="24"/>
        </w:rPr>
        <w:t>The leadership of the DPR, after receiving the draft law from the DPD as referred to in Article 146, paragraph (1), shall inform the members of the DPR about the proposed draft law and distribute it to all members of the DPR during a plenary meeting.</w:t>
      </w:r>
    </w:p>
    <w:p w14:paraId="4007B93A" w14:textId="77777777" w:rsidR="00CB6A9E" w:rsidRDefault="00CB6A9E" w:rsidP="00CB6A9E">
      <w:pPr>
        <w:pStyle w:val="ListParagraph"/>
        <w:numPr>
          <w:ilvl w:val="0"/>
          <w:numId w:val="8"/>
        </w:numPr>
        <w:spacing w:after="0" w:line="240" w:lineRule="auto"/>
        <w:jc w:val="both"/>
        <w:rPr>
          <w:rFonts w:ascii="Times New Roman" w:hAnsi="Times New Roman" w:cs="Times New Roman"/>
          <w:sz w:val="24"/>
          <w:szCs w:val="24"/>
        </w:rPr>
      </w:pPr>
      <w:r w:rsidRPr="00CB6A9E">
        <w:rPr>
          <w:rFonts w:ascii="Times New Roman" w:hAnsi="Times New Roman" w:cs="Times New Roman"/>
          <w:sz w:val="24"/>
          <w:szCs w:val="24"/>
        </w:rPr>
        <w:t>The DPR shall decide on the proposed draft law in the subsequent plenary meeting in one of the following forms:</w:t>
      </w:r>
    </w:p>
    <w:p w14:paraId="2D0D9D28" w14:textId="77777777" w:rsidR="00CB6A9E" w:rsidRDefault="00CB6A9E" w:rsidP="00CB6A9E">
      <w:pPr>
        <w:pStyle w:val="ListParagraph"/>
        <w:numPr>
          <w:ilvl w:val="0"/>
          <w:numId w:val="9"/>
        </w:numPr>
        <w:spacing w:after="0" w:line="240" w:lineRule="auto"/>
        <w:jc w:val="both"/>
        <w:rPr>
          <w:rFonts w:ascii="Times New Roman" w:hAnsi="Times New Roman" w:cs="Times New Roman"/>
          <w:sz w:val="24"/>
          <w:szCs w:val="24"/>
        </w:rPr>
      </w:pPr>
      <w:r w:rsidRPr="00CB6A9E">
        <w:rPr>
          <w:rFonts w:ascii="Times New Roman" w:hAnsi="Times New Roman" w:cs="Times New Roman"/>
          <w:sz w:val="24"/>
          <w:szCs w:val="24"/>
        </w:rPr>
        <w:t>approval;</w:t>
      </w:r>
    </w:p>
    <w:p w14:paraId="4ABE27E5" w14:textId="77777777" w:rsidR="00CB6A9E" w:rsidRDefault="00CB6A9E" w:rsidP="00CB6A9E">
      <w:pPr>
        <w:pStyle w:val="ListParagraph"/>
        <w:numPr>
          <w:ilvl w:val="0"/>
          <w:numId w:val="9"/>
        </w:numPr>
        <w:spacing w:after="0" w:line="240" w:lineRule="auto"/>
        <w:jc w:val="both"/>
        <w:rPr>
          <w:rFonts w:ascii="Times New Roman" w:hAnsi="Times New Roman" w:cs="Times New Roman"/>
          <w:sz w:val="24"/>
          <w:szCs w:val="24"/>
        </w:rPr>
      </w:pPr>
      <w:r w:rsidRPr="00CB6A9E">
        <w:rPr>
          <w:rFonts w:ascii="Times New Roman" w:hAnsi="Times New Roman" w:cs="Times New Roman"/>
          <w:sz w:val="24"/>
          <w:szCs w:val="24"/>
        </w:rPr>
        <w:t>approval with amendments; or</w:t>
      </w:r>
    </w:p>
    <w:p w14:paraId="16279096" w14:textId="6A0130E8" w:rsidR="00CB6A9E" w:rsidRPr="00CB6A9E" w:rsidRDefault="00CB6A9E" w:rsidP="00CB6A9E">
      <w:pPr>
        <w:pStyle w:val="ListParagraph"/>
        <w:numPr>
          <w:ilvl w:val="0"/>
          <w:numId w:val="9"/>
        </w:numPr>
        <w:spacing w:after="0" w:line="240" w:lineRule="auto"/>
        <w:jc w:val="both"/>
        <w:rPr>
          <w:rFonts w:ascii="Times New Roman" w:hAnsi="Times New Roman" w:cs="Times New Roman"/>
          <w:sz w:val="24"/>
          <w:szCs w:val="24"/>
        </w:rPr>
      </w:pPr>
      <w:r w:rsidRPr="00CB6A9E">
        <w:rPr>
          <w:rFonts w:ascii="Times New Roman" w:hAnsi="Times New Roman" w:cs="Times New Roman"/>
          <w:sz w:val="24"/>
          <w:szCs w:val="24"/>
        </w:rPr>
        <w:t>rejection.</w:t>
      </w:r>
    </w:p>
    <w:p w14:paraId="4A89A956" w14:textId="77777777" w:rsidR="00CB6A9E" w:rsidRDefault="00CB6A9E" w:rsidP="00CB6A9E">
      <w:pPr>
        <w:pStyle w:val="ListParagraph"/>
        <w:numPr>
          <w:ilvl w:val="0"/>
          <w:numId w:val="8"/>
        </w:numPr>
        <w:spacing w:after="0" w:line="240" w:lineRule="auto"/>
        <w:jc w:val="both"/>
        <w:rPr>
          <w:rFonts w:ascii="Times New Roman" w:hAnsi="Times New Roman" w:cs="Times New Roman"/>
          <w:sz w:val="24"/>
          <w:szCs w:val="24"/>
        </w:rPr>
      </w:pPr>
      <w:r w:rsidRPr="00CB6A9E">
        <w:rPr>
          <w:rFonts w:ascii="Times New Roman" w:hAnsi="Times New Roman" w:cs="Times New Roman"/>
          <w:sz w:val="24"/>
          <w:szCs w:val="24"/>
        </w:rPr>
        <w:t>In the event that the plenary meeting decides to grant approval to the proposed draft law originating from the DPD as referred to in paragraph (2) letter a, the draft law shall become a draft law proposed by the DPR.</w:t>
      </w:r>
    </w:p>
    <w:p w14:paraId="0BFFA23A" w14:textId="72B5FBCC" w:rsidR="00DA5EB0" w:rsidRDefault="00CB6A9E" w:rsidP="00CB6A9E">
      <w:pPr>
        <w:pStyle w:val="ListParagraph"/>
        <w:numPr>
          <w:ilvl w:val="0"/>
          <w:numId w:val="8"/>
        </w:numPr>
        <w:spacing w:after="0" w:line="240" w:lineRule="auto"/>
        <w:jc w:val="both"/>
        <w:rPr>
          <w:rFonts w:ascii="Times New Roman" w:hAnsi="Times New Roman" w:cs="Times New Roman"/>
          <w:sz w:val="24"/>
          <w:szCs w:val="24"/>
        </w:rPr>
      </w:pPr>
      <w:r w:rsidRPr="00CB6A9E">
        <w:rPr>
          <w:rFonts w:ascii="Times New Roman" w:hAnsi="Times New Roman" w:cs="Times New Roman"/>
          <w:sz w:val="24"/>
          <w:szCs w:val="24"/>
        </w:rPr>
        <w:t>In the event that the plenary meeting decides to grant approval with amendments to the proposed draft law originating from the DPD as referred to in paragraph (2) letter b, the draft law shall become a draft law proposed by the DPR, and the DPR shall assign the refinement of the draft law to the relevant committee, joint committee, Legislative Body, or special committee.</w:t>
      </w:r>
    </w:p>
    <w:p w14:paraId="2029CF81" w14:textId="77777777" w:rsidR="000A0CDA" w:rsidRDefault="000A0CDA" w:rsidP="000A0CDA">
      <w:pPr>
        <w:spacing w:after="0" w:line="240" w:lineRule="auto"/>
        <w:jc w:val="both"/>
        <w:rPr>
          <w:rFonts w:ascii="Times New Roman" w:hAnsi="Times New Roman" w:cs="Times New Roman"/>
          <w:sz w:val="24"/>
          <w:szCs w:val="24"/>
        </w:rPr>
      </w:pPr>
    </w:p>
    <w:p w14:paraId="7E3D373D" w14:textId="7BC46BA8" w:rsidR="000A0CDA" w:rsidRDefault="00DC5C2C" w:rsidP="00DC5C2C">
      <w:pPr>
        <w:spacing w:after="0" w:line="360" w:lineRule="auto"/>
        <w:ind w:firstLine="851"/>
        <w:jc w:val="both"/>
        <w:rPr>
          <w:rFonts w:ascii="Times New Roman" w:hAnsi="Times New Roman" w:cs="Times New Roman"/>
          <w:sz w:val="24"/>
          <w:szCs w:val="24"/>
        </w:rPr>
      </w:pPr>
      <w:r w:rsidRPr="00DC5C2C">
        <w:rPr>
          <w:rFonts w:ascii="Times New Roman" w:hAnsi="Times New Roman" w:cs="Times New Roman"/>
          <w:sz w:val="24"/>
          <w:szCs w:val="24"/>
        </w:rPr>
        <w:t xml:space="preserve">With the </w:t>
      </w:r>
      <w:r w:rsidRPr="00DC5C2C">
        <w:rPr>
          <w:rFonts w:ascii="Times New Roman" w:hAnsi="Times New Roman" w:cs="Times New Roman"/>
          <w:i/>
          <w:iCs/>
          <w:sz w:val="24"/>
          <w:szCs w:val="24"/>
        </w:rPr>
        <w:t>"sophistication"</w:t>
      </w:r>
      <w:r w:rsidRPr="00DC5C2C">
        <w:rPr>
          <w:rFonts w:ascii="Times New Roman" w:hAnsi="Times New Roman" w:cs="Times New Roman"/>
          <w:sz w:val="24"/>
          <w:szCs w:val="24"/>
        </w:rPr>
        <w:t xml:space="preserve"> of political maneuvering within the House of Representatives (DPR), the meaning contained in Article 22D Paragraph (1) of the 1945 Constitution of the Republic of Indonesia has been transformed. This alteration of meaning is evident in two key aspects: First, the phrase "draft law" as stated in Article 22D Paragraph (1) has been cleverly and subtly rephrased as "proposal for a draft law." Second, with the substitution of "draft law" for "proposal for a draft law," the status of specific bills originating </w:t>
      </w:r>
      <w:r w:rsidRPr="00DC5C2C">
        <w:rPr>
          <w:rFonts w:ascii="Times New Roman" w:hAnsi="Times New Roman" w:cs="Times New Roman"/>
          <w:sz w:val="24"/>
          <w:szCs w:val="24"/>
        </w:rPr>
        <w:lastRenderedPageBreak/>
        <w:t>from the Regional Representative Council (DPD) has shifted to that of draft laws proposed by the DPR. Within academic and legal frameworks, this approach is akin to plagiarism, as it presents a fundamental misrepresentation of legislative intent and processes.</w:t>
      </w:r>
    </w:p>
    <w:p w14:paraId="01089311" w14:textId="77777777" w:rsidR="00DC5C2C" w:rsidRPr="00DC5C2C" w:rsidRDefault="00DC5C2C" w:rsidP="00DC5C2C">
      <w:pPr>
        <w:spacing w:after="0" w:line="360" w:lineRule="auto"/>
        <w:ind w:firstLine="851"/>
        <w:jc w:val="both"/>
        <w:rPr>
          <w:rFonts w:ascii="Times New Roman" w:hAnsi="Times New Roman" w:cs="Times New Roman"/>
          <w:sz w:val="24"/>
          <w:szCs w:val="24"/>
        </w:rPr>
      </w:pPr>
      <w:r w:rsidRPr="00DC5C2C">
        <w:rPr>
          <w:rFonts w:ascii="Times New Roman" w:hAnsi="Times New Roman" w:cs="Times New Roman"/>
          <w:sz w:val="24"/>
          <w:szCs w:val="24"/>
        </w:rPr>
        <w:t>The "fate" of specific bills originating from the Regional Representative Council (DPD) differs markedly from the "fate" of bills proposed by the President. Bills proposed by the President do not undergo a "metamorphosis" into draft laws submitted by the House of Representatives (DPR). Both the President and the DPD are recognized as high state institutions by the 1945 Constitution of the Republic of Indonesia in terms of their authority to propose bills to the DPR. Moreover, under the Law on the MPR, DPR, DPD, and DPRD (MD3), bills from the DPD are treated similarly to proposals for draft laws originating from DPR members, and therefore must undergo harmonization and finalization by the DPR's Legislative Body (Baleg).</w:t>
      </w:r>
    </w:p>
    <w:p w14:paraId="40FEB483" w14:textId="77777777" w:rsidR="00DC5C2C" w:rsidRPr="00DC5C2C" w:rsidRDefault="00DC5C2C" w:rsidP="00DC5C2C">
      <w:pPr>
        <w:spacing w:after="0" w:line="360" w:lineRule="auto"/>
        <w:ind w:firstLine="851"/>
        <w:jc w:val="both"/>
        <w:rPr>
          <w:rFonts w:ascii="Times New Roman" w:hAnsi="Times New Roman" w:cs="Times New Roman"/>
          <w:sz w:val="24"/>
          <w:szCs w:val="24"/>
        </w:rPr>
      </w:pPr>
      <w:r w:rsidRPr="00DC5C2C">
        <w:rPr>
          <w:rFonts w:ascii="Times New Roman" w:hAnsi="Times New Roman" w:cs="Times New Roman"/>
          <w:sz w:val="24"/>
          <w:szCs w:val="24"/>
        </w:rPr>
        <w:t>The differing treatment of bills from the DPD and those from the President clearly represents a denial of the "spirit" of checks and balances in the legislative domain. As a result of this disparity, the role and position of the DPD as an institution representing regional interests become tenuous. Its performance is not acknowledged in a substantial manner and is even politically "claimed" by the DPR. Essentially, if bills from the DPD are directly transformed into "DPR-owned" bills, a critical question arises: how can we measure the performance of the DPD in executing its legislative functions? Additionally, what are the accountability measures for the DPD to its regional "constituents," given that the aspirations and interests of the regions it represents must be manifested in national policies or legislative products? Ultimately, what kind of checks and balances exist when the position of the DPD as a high state institution in the legislative process is diminished by the provisions of the MD3 Law?</w:t>
      </w:r>
    </w:p>
    <w:p w14:paraId="4DA0AF98" w14:textId="20E563D5" w:rsidR="00DC5C2C" w:rsidRDefault="00E81A8F" w:rsidP="00DC5C2C">
      <w:pPr>
        <w:spacing w:after="0" w:line="360" w:lineRule="auto"/>
        <w:ind w:firstLine="851"/>
        <w:jc w:val="both"/>
        <w:rPr>
          <w:rFonts w:ascii="Times New Roman" w:hAnsi="Times New Roman" w:cs="Times New Roman"/>
          <w:sz w:val="24"/>
          <w:szCs w:val="24"/>
        </w:rPr>
      </w:pPr>
      <w:r w:rsidRPr="00E81A8F">
        <w:rPr>
          <w:rFonts w:ascii="Times New Roman" w:hAnsi="Times New Roman" w:cs="Times New Roman"/>
          <w:sz w:val="24"/>
          <w:szCs w:val="24"/>
        </w:rPr>
        <w:t>In line with the provisions of the MD3 Law, the stipulations in the P3 Law are also quite similar. Article 43, Paragraphs (1) and (2), explicitly state</w:t>
      </w:r>
      <w:r>
        <w:rPr>
          <w:rFonts w:ascii="Times New Roman" w:hAnsi="Times New Roman" w:cs="Times New Roman"/>
          <w:sz w:val="24"/>
          <w:szCs w:val="24"/>
        </w:rPr>
        <w:t xml:space="preserve">ment: </w:t>
      </w:r>
    </w:p>
    <w:p w14:paraId="25F2BCD5" w14:textId="77777777" w:rsidR="00E81A8F" w:rsidRDefault="00E81A8F" w:rsidP="00E81A8F">
      <w:pPr>
        <w:pStyle w:val="ListParagraph"/>
        <w:numPr>
          <w:ilvl w:val="1"/>
          <w:numId w:val="9"/>
        </w:numPr>
        <w:spacing w:after="0" w:line="360" w:lineRule="auto"/>
        <w:ind w:left="426" w:hanging="426"/>
        <w:jc w:val="both"/>
        <w:rPr>
          <w:rFonts w:ascii="Times New Roman" w:hAnsi="Times New Roman" w:cs="Times New Roman"/>
          <w:sz w:val="24"/>
          <w:szCs w:val="24"/>
        </w:rPr>
      </w:pPr>
      <w:r w:rsidRPr="00E81A8F">
        <w:rPr>
          <w:rFonts w:ascii="Times New Roman" w:hAnsi="Times New Roman" w:cs="Times New Roman"/>
          <w:sz w:val="24"/>
          <w:szCs w:val="24"/>
        </w:rPr>
        <w:t>Draft laws may originate from the House of Representatives (DPR) or the President.</w:t>
      </w:r>
    </w:p>
    <w:p w14:paraId="2A24A964" w14:textId="4F630CE6" w:rsidR="00E81A8F" w:rsidRDefault="00E81A8F" w:rsidP="00E81A8F">
      <w:pPr>
        <w:pStyle w:val="ListParagraph"/>
        <w:numPr>
          <w:ilvl w:val="1"/>
          <w:numId w:val="9"/>
        </w:numPr>
        <w:spacing w:after="0" w:line="360" w:lineRule="auto"/>
        <w:ind w:left="426" w:hanging="426"/>
        <w:jc w:val="both"/>
        <w:rPr>
          <w:rFonts w:ascii="Times New Roman" w:hAnsi="Times New Roman" w:cs="Times New Roman"/>
          <w:sz w:val="24"/>
          <w:szCs w:val="24"/>
        </w:rPr>
      </w:pPr>
      <w:r w:rsidRPr="00E81A8F">
        <w:rPr>
          <w:rFonts w:ascii="Times New Roman" w:hAnsi="Times New Roman" w:cs="Times New Roman"/>
          <w:sz w:val="24"/>
          <w:szCs w:val="24"/>
        </w:rPr>
        <w:t>Draft laws originating from the DPR as referred to in paragraph (1) may also originate from the Regional Representative Council (DPD).</w:t>
      </w:r>
    </w:p>
    <w:p w14:paraId="62D8EFF2" w14:textId="3C1B5196" w:rsidR="00E81A8F" w:rsidRDefault="00E81A8F" w:rsidP="00E81A8F">
      <w:pPr>
        <w:pStyle w:val="ListParagraph"/>
        <w:spacing w:after="0" w:line="360" w:lineRule="auto"/>
        <w:ind w:left="0"/>
        <w:jc w:val="both"/>
        <w:rPr>
          <w:rFonts w:ascii="Times New Roman" w:hAnsi="Times New Roman" w:cs="Times New Roman"/>
          <w:sz w:val="24"/>
          <w:szCs w:val="24"/>
        </w:rPr>
      </w:pPr>
      <w:r w:rsidRPr="00E81A8F">
        <w:rPr>
          <w:rFonts w:ascii="Times New Roman" w:hAnsi="Times New Roman" w:cs="Times New Roman"/>
          <w:sz w:val="24"/>
          <w:szCs w:val="24"/>
        </w:rPr>
        <w:t>Once again, the House of Representatives (DPR) and the President</w:t>
      </w:r>
      <w:r>
        <w:rPr>
          <w:rStyle w:val="FootnoteReference"/>
          <w:rFonts w:ascii="Times New Roman" w:hAnsi="Times New Roman" w:cs="Times New Roman"/>
          <w:sz w:val="24"/>
          <w:szCs w:val="24"/>
        </w:rPr>
        <w:footnoteReference w:id="24"/>
      </w:r>
      <w:r w:rsidRPr="00E81A8F">
        <w:rPr>
          <w:rFonts w:ascii="Times New Roman" w:hAnsi="Times New Roman" w:cs="Times New Roman"/>
          <w:sz w:val="24"/>
          <w:szCs w:val="24"/>
        </w:rPr>
        <w:t xml:space="preserve">, in interpreting the meaning of Article 22D Paragraph (1) of the 1945 Constitution of the Republic of Indonesia, </w:t>
      </w:r>
      <w:r w:rsidRPr="00E81A8F">
        <w:rPr>
          <w:rFonts w:ascii="Times New Roman" w:hAnsi="Times New Roman" w:cs="Times New Roman"/>
          <w:sz w:val="24"/>
          <w:szCs w:val="24"/>
        </w:rPr>
        <w:lastRenderedPageBreak/>
        <w:t>have distorted the authority of the Regional Representative Council (DPD) in proposing specific draft laws. Initially designed as a balancing institution within the Indonesian parliamentary system, the DPD's legislative function, as limited by the 1945 Constitution, has been further constrained by the provisions of the MD3 Law and the P3 Law.</w:t>
      </w:r>
    </w:p>
    <w:p w14:paraId="383DD702" w14:textId="77777777" w:rsidR="00E81A8F" w:rsidRPr="00E81A8F" w:rsidRDefault="00E81A8F" w:rsidP="00E81A8F">
      <w:pPr>
        <w:pStyle w:val="ListParagraph"/>
        <w:spacing w:after="0" w:line="360" w:lineRule="auto"/>
        <w:ind w:left="0" w:firstLine="851"/>
        <w:jc w:val="both"/>
        <w:rPr>
          <w:rFonts w:ascii="Times New Roman" w:hAnsi="Times New Roman" w:cs="Times New Roman"/>
          <w:sz w:val="24"/>
          <w:szCs w:val="24"/>
        </w:rPr>
      </w:pPr>
      <w:r w:rsidRPr="00E81A8F">
        <w:rPr>
          <w:rFonts w:ascii="Times New Roman" w:hAnsi="Times New Roman" w:cs="Times New Roman"/>
          <w:sz w:val="24"/>
          <w:szCs w:val="24"/>
        </w:rPr>
        <w:t>Furthermore, Article 46, Paragraph (1) states: “Draft laws from the House of Representatives (DPR) may be submitted by DPR members, committees, joint committees, or DPR’s auxiliary bodies specifically dealing with legislative matters or the Regional Representative Council (DPD).” Such provisions clearly contradict Article 22D Paragraph (1) of the 1945 Constitution of the Republic of Indonesia, as they equate the legislative authority of the DPD with that of committees, joint committees, and DPR auxiliary bodies, and even more concerning, with DPR members who have the right to propose draft laws.</w:t>
      </w:r>
    </w:p>
    <w:p w14:paraId="376E374D" w14:textId="77777777" w:rsidR="00E81A8F" w:rsidRPr="00E81A8F" w:rsidRDefault="00E81A8F" w:rsidP="00E81A8F">
      <w:pPr>
        <w:pStyle w:val="ListParagraph"/>
        <w:spacing w:after="0" w:line="360" w:lineRule="auto"/>
        <w:ind w:left="0" w:firstLine="851"/>
        <w:jc w:val="both"/>
        <w:rPr>
          <w:rFonts w:ascii="Times New Roman" w:hAnsi="Times New Roman" w:cs="Times New Roman"/>
          <w:sz w:val="24"/>
          <w:szCs w:val="24"/>
        </w:rPr>
      </w:pPr>
      <w:r w:rsidRPr="00E81A8F">
        <w:rPr>
          <w:rFonts w:ascii="Times New Roman" w:hAnsi="Times New Roman" w:cs="Times New Roman"/>
          <w:sz w:val="24"/>
          <w:szCs w:val="24"/>
        </w:rPr>
        <w:t>By positioning the DPD in this manner, the DPD is constitutionally reduced to a subordinate entity under the DPR in the process of submitting draft laws. In fact, the DPD is a state institution that possesses constitutional authority to propose draft laws in specific fields, as regulated by Article 22D Paragraph (1) of the 1945 Constitution. This authority is distinctly different from the rights held by DPR members, committees, joint committees, or DPR auxiliary bodies.</w:t>
      </w:r>
    </w:p>
    <w:p w14:paraId="1A4C5B11" w14:textId="77777777" w:rsidR="00E81A8F" w:rsidRDefault="00E81A8F" w:rsidP="00E81A8F">
      <w:pPr>
        <w:pStyle w:val="ListParagraph"/>
        <w:spacing w:after="0" w:line="360" w:lineRule="auto"/>
        <w:ind w:left="0" w:firstLine="851"/>
        <w:jc w:val="both"/>
        <w:rPr>
          <w:rFonts w:ascii="Times New Roman" w:hAnsi="Times New Roman" w:cs="Times New Roman"/>
          <w:sz w:val="24"/>
          <w:szCs w:val="24"/>
        </w:rPr>
      </w:pPr>
      <w:r w:rsidRPr="00E81A8F">
        <w:rPr>
          <w:rFonts w:ascii="Times New Roman" w:hAnsi="Times New Roman" w:cs="Times New Roman"/>
          <w:sz w:val="24"/>
          <w:szCs w:val="24"/>
        </w:rPr>
        <w:t>Thus, the provisions of Article 43, Paragraphs (1) and (2), as well as Article 46, Paragraph (1) of the P3 Law, not only undermine the constitutional order intended by the 1945 Constitution but also further violate the spirit of decentralized democracy in Indonesia, as constructed by "the second founding constitution" during the amendment of the 1945 Constitution.</w:t>
      </w:r>
    </w:p>
    <w:p w14:paraId="49EF1851" w14:textId="77777777" w:rsidR="00E85557" w:rsidRDefault="00E85557" w:rsidP="00E81A8F">
      <w:pPr>
        <w:pStyle w:val="ListParagraph"/>
        <w:spacing w:after="0" w:line="360" w:lineRule="auto"/>
        <w:ind w:left="0" w:firstLine="851"/>
        <w:jc w:val="both"/>
        <w:rPr>
          <w:rFonts w:ascii="Times New Roman" w:hAnsi="Times New Roman" w:cs="Times New Roman"/>
          <w:sz w:val="24"/>
          <w:szCs w:val="24"/>
        </w:rPr>
      </w:pPr>
    </w:p>
    <w:p w14:paraId="231398E7" w14:textId="6AE058F9" w:rsidR="00E85557" w:rsidRPr="00E81A8F" w:rsidRDefault="00E85557" w:rsidP="00E85557">
      <w:pPr>
        <w:pStyle w:val="ListParagraph"/>
        <w:spacing w:after="0" w:line="360" w:lineRule="auto"/>
        <w:ind w:left="0"/>
        <w:jc w:val="both"/>
        <w:rPr>
          <w:rFonts w:ascii="Times New Roman" w:hAnsi="Times New Roman" w:cs="Times New Roman"/>
          <w:b/>
          <w:bCs/>
          <w:sz w:val="24"/>
          <w:szCs w:val="24"/>
        </w:rPr>
      </w:pPr>
      <w:r w:rsidRPr="00437A23">
        <w:rPr>
          <w:rFonts w:ascii="Times New Roman" w:hAnsi="Times New Roman" w:cs="Times New Roman"/>
          <w:b/>
          <w:bCs/>
          <w:sz w:val="24"/>
          <w:szCs w:val="24"/>
        </w:rPr>
        <w:t xml:space="preserve">D. </w:t>
      </w:r>
      <w:r w:rsidR="00437A23" w:rsidRPr="00437A23">
        <w:rPr>
          <w:rFonts w:ascii="Times New Roman" w:hAnsi="Times New Roman" w:cs="Times New Roman"/>
          <w:b/>
          <w:bCs/>
          <w:sz w:val="24"/>
          <w:szCs w:val="24"/>
        </w:rPr>
        <w:t>Discussion of the Draft Law</w:t>
      </w:r>
    </w:p>
    <w:p w14:paraId="1F6A2193" w14:textId="77777777" w:rsidR="00437A23" w:rsidRPr="00437A23" w:rsidRDefault="00437A23" w:rsidP="00437A23">
      <w:pPr>
        <w:pStyle w:val="ListParagraph"/>
        <w:spacing w:after="0" w:line="360" w:lineRule="auto"/>
        <w:ind w:left="0" w:firstLine="851"/>
        <w:jc w:val="both"/>
        <w:rPr>
          <w:rFonts w:ascii="Times New Roman" w:hAnsi="Times New Roman" w:cs="Times New Roman"/>
          <w:sz w:val="24"/>
          <w:szCs w:val="24"/>
        </w:rPr>
      </w:pPr>
      <w:r w:rsidRPr="00437A23">
        <w:rPr>
          <w:rFonts w:ascii="Times New Roman" w:hAnsi="Times New Roman" w:cs="Times New Roman"/>
          <w:sz w:val="24"/>
          <w:szCs w:val="24"/>
        </w:rPr>
        <w:t>The constitutional norms governing the discussion of draft laws are found in Article 20, Paragraph (2) of the 1945 Constitution, which states that every draft law shall be discussed by the House of Representatives (DPR) and the President to obtain mutual approval, and in Article 22D, Paragraph (2) of the 1945 Constitution, which emphasizes that the Regional Representative Council (DPD) participates in the discussion of draft laws in specific fields.</w:t>
      </w:r>
    </w:p>
    <w:p w14:paraId="4596B841" w14:textId="77777777" w:rsidR="00437A23" w:rsidRPr="00437A23" w:rsidRDefault="00437A23" w:rsidP="00437A23">
      <w:pPr>
        <w:pStyle w:val="ListParagraph"/>
        <w:spacing w:after="0" w:line="360" w:lineRule="auto"/>
        <w:ind w:left="0" w:firstLine="851"/>
        <w:jc w:val="both"/>
        <w:rPr>
          <w:rFonts w:ascii="Times New Roman" w:hAnsi="Times New Roman" w:cs="Times New Roman"/>
          <w:sz w:val="24"/>
          <w:szCs w:val="24"/>
        </w:rPr>
      </w:pPr>
      <w:r w:rsidRPr="00437A23">
        <w:rPr>
          <w:rFonts w:ascii="Times New Roman" w:hAnsi="Times New Roman" w:cs="Times New Roman"/>
          <w:sz w:val="24"/>
          <w:szCs w:val="24"/>
        </w:rPr>
        <w:t xml:space="preserve">These two constitutional norms should be read together rather than as separate provisions. One fundamental question that must be addressed is: what happens if the DPD is not included in the process of discussing draft laws? Can the formation of laws without involving the DPD ensure the representation of regional aspirations and interests? Is it </w:t>
      </w:r>
      <w:r w:rsidRPr="00437A23">
        <w:rPr>
          <w:rFonts w:ascii="Times New Roman" w:hAnsi="Times New Roman" w:cs="Times New Roman"/>
          <w:sz w:val="24"/>
          <w:szCs w:val="24"/>
        </w:rPr>
        <w:lastRenderedPageBreak/>
        <w:t>sufficient for only the DPR and the President (Government) to make political decisions without considering regional aspirations and interests?</w:t>
      </w:r>
    </w:p>
    <w:p w14:paraId="422763C4" w14:textId="77777777" w:rsidR="00437A23" w:rsidRPr="00437A23" w:rsidRDefault="00437A23" w:rsidP="00437A23">
      <w:pPr>
        <w:pStyle w:val="ListParagraph"/>
        <w:spacing w:after="0" w:line="360" w:lineRule="auto"/>
        <w:ind w:left="0" w:firstLine="851"/>
        <w:jc w:val="both"/>
        <w:rPr>
          <w:rFonts w:ascii="Times New Roman" w:hAnsi="Times New Roman" w:cs="Times New Roman"/>
          <w:sz w:val="24"/>
          <w:szCs w:val="24"/>
        </w:rPr>
      </w:pPr>
      <w:r w:rsidRPr="00437A23">
        <w:rPr>
          <w:rFonts w:ascii="Times New Roman" w:hAnsi="Times New Roman" w:cs="Times New Roman"/>
          <w:sz w:val="24"/>
          <w:szCs w:val="24"/>
        </w:rPr>
        <w:t>From the provisions stated in Article 22D, Paragraph (2) of the 1945 Constitution, the phrase "participate in the discussion" still allows the DPD to play a more significant role in the legislative function. Article 22D, Paragraph (2) of the 1945 Constitution asserts that:</w:t>
      </w:r>
    </w:p>
    <w:p w14:paraId="57A0117A" w14:textId="3CE80257" w:rsidR="00E81A8F" w:rsidRDefault="00437A23" w:rsidP="00437A23">
      <w:pPr>
        <w:pStyle w:val="ListParagraph"/>
        <w:spacing w:after="0" w:line="240" w:lineRule="auto"/>
        <w:ind w:left="851"/>
        <w:jc w:val="both"/>
        <w:rPr>
          <w:rFonts w:ascii="Times New Roman" w:hAnsi="Times New Roman" w:cs="Times New Roman"/>
          <w:sz w:val="24"/>
          <w:szCs w:val="24"/>
        </w:rPr>
      </w:pPr>
      <w:r w:rsidRPr="00437A23">
        <w:rPr>
          <w:rFonts w:ascii="Times New Roman" w:hAnsi="Times New Roman" w:cs="Times New Roman"/>
          <w:sz w:val="24"/>
          <w:szCs w:val="24"/>
        </w:rPr>
        <w:t>"The DPD participates in the discussion of draft laws related to regional autonomy; the relationship between central and regional governments; the establishment, expansion, and amalgamation of regions; the management of natural resources and other economic resources; as well as the financial balance between central and regional governments. Additionally, the DPD provides considerations to the DPR regarding draft laws on the national budget and draft laws related to taxation, education, and religion."</w:t>
      </w:r>
    </w:p>
    <w:p w14:paraId="0569A877" w14:textId="77777777" w:rsidR="00437A23" w:rsidRDefault="00437A23" w:rsidP="00437A23">
      <w:pPr>
        <w:pStyle w:val="ListParagraph"/>
        <w:spacing w:after="0" w:line="240" w:lineRule="auto"/>
        <w:ind w:left="851"/>
        <w:jc w:val="both"/>
        <w:rPr>
          <w:rFonts w:ascii="Times New Roman" w:hAnsi="Times New Roman" w:cs="Times New Roman"/>
          <w:sz w:val="24"/>
          <w:szCs w:val="24"/>
        </w:rPr>
      </w:pPr>
    </w:p>
    <w:p w14:paraId="6B091077" w14:textId="77777777" w:rsidR="00853F5B" w:rsidRPr="00853F5B" w:rsidRDefault="00853F5B" w:rsidP="00853F5B">
      <w:pPr>
        <w:pStyle w:val="ListParagraph"/>
        <w:spacing w:after="0" w:line="360" w:lineRule="auto"/>
        <w:ind w:left="0" w:firstLine="851"/>
        <w:jc w:val="both"/>
        <w:rPr>
          <w:rFonts w:ascii="Times New Roman" w:hAnsi="Times New Roman" w:cs="Times New Roman"/>
          <w:sz w:val="24"/>
          <w:szCs w:val="24"/>
        </w:rPr>
      </w:pPr>
      <w:r w:rsidRPr="00853F5B">
        <w:rPr>
          <w:rFonts w:ascii="Times New Roman" w:hAnsi="Times New Roman" w:cs="Times New Roman"/>
          <w:sz w:val="24"/>
          <w:szCs w:val="24"/>
        </w:rPr>
        <w:t>This provision, when linked to Article 20, Paragraph (2) of the 1945 Constitution of the Republic of Indonesia, inherently embodies the spirit of checks and balances among the President, the House of Representatives (DPR), and the Regional Representative Council (DPD) in the deliberation of specific bills. The phrase "participate in the discussion," as articulated in Article 22D, Paragraph (2) of the 1945 Constitution, must be interpreted to mean that, concerning certain draft laws related to the authority of the DPD, the DPD's power to discuss such legislation is equivalent to that of the President and the DPR. The phrase "participate in the discussion" conveys the understanding of engaging in discussions (according to the Indonesian Dictionary: "ikut" = to do something as others do). Therefore, the phrase "participate in the discussion" in Article 22D, Paragraph (2) of the 1945 Constitution should be associated with Article 20, Paragraph (2) of the 1945 Constitution, and interpreted to mean that regarding draft laws related to the authority of the DPD, whether such bills originate from the President, the DPR, or the DPD, the DPD has the right and authority to participate in the entire process of discussing the draft legislation at the First Discussion Stage.</w:t>
      </w:r>
    </w:p>
    <w:p w14:paraId="55C9A5E2" w14:textId="77777777" w:rsidR="00853F5B" w:rsidRDefault="00853F5B" w:rsidP="00853F5B">
      <w:pPr>
        <w:pStyle w:val="ListParagraph"/>
        <w:spacing w:after="0" w:line="360" w:lineRule="auto"/>
        <w:ind w:left="0" w:firstLine="851"/>
        <w:jc w:val="both"/>
        <w:rPr>
          <w:rFonts w:ascii="Times New Roman" w:hAnsi="Times New Roman" w:cs="Times New Roman"/>
          <w:sz w:val="24"/>
          <w:szCs w:val="24"/>
        </w:rPr>
      </w:pPr>
      <w:r w:rsidRPr="00853F5B">
        <w:rPr>
          <w:rFonts w:ascii="Times New Roman" w:hAnsi="Times New Roman" w:cs="Times New Roman"/>
          <w:sz w:val="24"/>
          <w:szCs w:val="24"/>
        </w:rPr>
        <w:t>This interpretation of the phrase "participate in the discussion," however, has not served as the foundational basis for the drafters of Law No. 17 of 2014 concerning the MPR, DPR, DPD, and DPRD (MD3 Law) and Law No. 12 of 2011 concerning the Establishment of Legislative Regulations (P3 Law). Article 150, Paragraph (3) of the MD3 Law states that the inventory of issues referred to in Paragraph (1), letter b, is submitted by:</w:t>
      </w:r>
    </w:p>
    <w:p w14:paraId="40D0E701" w14:textId="77777777" w:rsidR="00853F5B" w:rsidRDefault="00853F5B" w:rsidP="00853F5B">
      <w:pPr>
        <w:pStyle w:val="ListParagraph"/>
        <w:numPr>
          <w:ilvl w:val="0"/>
          <w:numId w:val="12"/>
        </w:numPr>
        <w:spacing w:after="0" w:line="360" w:lineRule="auto"/>
        <w:ind w:left="284" w:hanging="284"/>
        <w:jc w:val="both"/>
        <w:rPr>
          <w:rFonts w:ascii="Times New Roman" w:hAnsi="Times New Roman" w:cs="Times New Roman"/>
          <w:sz w:val="24"/>
          <w:szCs w:val="24"/>
        </w:rPr>
      </w:pPr>
      <w:r w:rsidRPr="00853F5B">
        <w:rPr>
          <w:rFonts w:ascii="Times New Roman" w:hAnsi="Times New Roman" w:cs="Times New Roman"/>
          <w:sz w:val="24"/>
          <w:szCs w:val="24"/>
        </w:rPr>
        <w:t>The President, if the draft law originates from the House of Representatives (DPR); or</w:t>
      </w:r>
    </w:p>
    <w:p w14:paraId="5119C7B5" w14:textId="0300628A" w:rsidR="00853F5B" w:rsidRPr="00853F5B" w:rsidRDefault="00853F5B" w:rsidP="00853F5B">
      <w:pPr>
        <w:pStyle w:val="ListParagraph"/>
        <w:numPr>
          <w:ilvl w:val="0"/>
          <w:numId w:val="12"/>
        </w:numPr>
        <w:spacing w:after="0" w:line="360" w:lineRule="auto"/>
        <w:ind w:left="284" w:hanging="284"/>
        <w:jc w:val="both"/>
        <w:rPr>
          <w:rFonts w:ascii="Times New Roman" w:hAnsi="Times New Roman" w:cs="Times New Roman"/>
          <w:sz w:val="24"/>
          <w:szCs w:val="24"/>
        </w:rPr>
      </w:pPr>
      <w:r w:rsidRPr="00853F5B">
        <w:rPr>
          <w:rFonts w:ascii="Times New Roman" w:hAnsi="Times New Roman" w:cs="Times New Roman"/>
          <w:sz w:val="24"/>
          <w:szCs w:val="24"/>
        </w:rPr>
        <w:t>The House of Representatives (DPR), if the draft law originates from the President.</w:t>
      </w:r>
    </w:p>
    <w:p w14:paraId="13E85E66" w14:textId="28F18881" w:rsidR="00437A23" w:rsidRDefault="00853F5B" w:rsidP="00853F5B">
      <w:pPr>
        <w:pStyle w:val="ListParagraph"/>
        <w:spacing w:after="0" w:line="360" w:lineRule="auto"/>
        <w:ind w:left="0"/>
        <w:jc w:val="both"/>
        <w:rPr>
          <w:rFonts w:ascii="Times New Roman" w:hAnsi="Times New Roman" w:cs="Times New Roman"/>
          <w:sz w:val="24"/>
          <w:szCs w:val="24"/>
        </w:rPr>
      </w:pPr>
      <w:r w:rsidRPr="00853F5B">
        <w:rPr>
          <w:rFonts w:ascii="Times New Roman" w:hAnsi="Times New Roman" w:cs="Times New Roman"/>
          <w:sz w:val="24"/>
          <w:szCs w:val="24"/>
        </w:rPr>
        <w:lastRenderedPageBreak/>
        <w:t>Furthermore, Article 68, Paragraph (3) of the Law on the Establishment of Legislative Regulations (P3 Law) stipulates that the inventory of issues referred to in Paragraph (1), letter b, shall be submitted by:</w:t>
      </w:r>
    </w:p>
    <w:p w14:paraId="35BAD800" w14:textId="77777777" w:rsidR="00853F5B" w:rsidRDefault="00853F5B" w:rsidP="00853F5B">
      <w:pPr>
        <w:pStyle w:val="ListParagraph"/>
        <w:numPr>
          <w:ilvl w:val="0"/>
          <w:numId w:val="14"/>
        </w:numPr>
        <w:spacing w:after="0" w:line="360" w:lineRule="auto"/>
        <w:ind w:left="284" w:hanging="284"/>
        <w:jc w:val="both"/>
        <w:rPr>
          <w:rFonts w:ascii="Times New Roman" w:hAnsi="Times New Roman" w:cs="Times New Roman"/>
          <w:sz w:val="24"/>
          <w:szCs w:val="24"/>
        </w:rPr>
      </w:pPr>
      <w:r w:rsidRPr="00853F5B">
        <w:rPr>
          <w:rFonts w:ascii="Times New Roman" w:hAnsi="Times New Roman" w:cs="Times New Roman"/>
          <w:sz w:val="24"/>
          <w:szCs w:val="24"/>
        </w:rPr>
        <w:t>The President, if the draft law originates from the House of Representatives (DPR); or</w:t>
      </w:r>
    </w:p>
    <w:p w14:paraId="1712A906" w14:textId="6757FE12" w:rsidR="00853F5B" w:rsidRPr="00E81A8F" w:rsidRDefault="00853F5B" w:rsidP="00853F5B">
      <w:pPr>
        <w:pStyle w:val="ListParagraph"/>
        <w:numPr>
          <w:ilvl w:val="0"/>
          <w:numId w:val="14"/>
        </w:numPr>
        <w:spacing w:after="0" w:line="360" w:lineRule="auto"/>
        <w:ind w:left="284" w:hanging="284"/>
        <w:jc w:val="both"/>
        <w:rPr>
          <w:rFonts w:ascii="Times New Roman" w:hAnsi="Times New Roman" w:cs="Times New Roman"/>
          <w:sz w:val="24"/>
          <w:szCs w:val="24"/>
        </w:rPr>
      </w:pPr>
      <w:r w:rsidRPr="00853F5B">
        <w:rPr>
          <w:rFonts w:ascii="Times New Roman" w:hAnsi="Times New Roman" w:cs="Times New Roman"/>
          <w:sz w:val="24"/>
          <w:szCs w:val="24"/>
        </w:rPr>
        <w:t>The House of Representatives (DPR), if the draft law originates from the President, while considering proposals from the Regional Representative Council (DPD) insofar as they relate to the authority of the DPD, as stipulated in Article 65, Paragraph (2).</w:t>
      </w:r>
    </w:p>
    <w:p w14:paraId="593E7796" w14:textId="77777777" w:rsidR="00853F5B" w:rsidRPr="00853F5B" w:rsidRDefault="00853F5B" w:rsidP="00853F5B">
      <w:pPr>
        <w:spacing w:after="0" w:line="360" w:lineRule="auto"/>
        <w:ind w:firstLine="851"/>
        <w:jc w:val="both"/>
        <w:rPr>
          <w:rFonts w:ascii="Times New Roman" w:hAnsi="Times New Roman" w:cs="Times New Roman"/>
          <w:sz w:val="24"/>
          <w:szCs w:val="24"/>
        </w:rPr>
      </w:pPr>
      <w:r w:rsidRPr="00853F5B">
        <w:rPr>
          <w:rFonts w:ascii="Times New Roman" w:hAnsi="Times New Roman" w:cs="Times New Roman"/>
          <w:sz w:val="24"/>
          <w:szCs w:val="24"/>
        </w:rPr>
        <w:t>These two provisions have effectively diminished Article 22D, Paragraph (2) of the 1945 Constitution of the Republic of Indonesia, as the stipulations for discussing draft laws (related to the authority of the DPD) can occur without the involvement of the DPD. In fact, Article 22D, Paragraph (2) of the 1945 Constitution grants constitutional authority to the DPD as a state institution that is equal to the President and the DPR to "participate in the discussion" of draft laws (during the First Discussion) that pertain to the authority of the DPD, as outlined in Article 22D of the 1945 Constitution.</w:t>
      </w:r>
    </w:p>
    <w:p w14:paraId="2DCF073E" w14:textId="77777777" w:rsidR="00853F5B" w:rsidRPr="00853F5B" w:rsidRDefault="00853F5B" w:rsidP="00853F5B">
      <w:pPr>
        <w:spacing w:after="0" w:line="360" w:lineRule="auto"/>
        <w:ind w:firstLine="851"/>
        <w:jc w:val="both"/>
        <w:rPr>
          <w:rFonts w:ascii="Times New Roman" w:hAnsi="Times New Roman" w:cs="Times New Roman"/>
          <w:sz w:val="24"/>
          <w:szCs w:val="24"/>
        </w:rPr>
      </w:pPr>
      <w:r w:rsidRPr="00853F5B">
        <w:rPr>
          <w:rFonts w:ascii="Times New Roman" w:hAnsi="Times New Roman" w:cs="Times New Roman"/>
          <w:sz w:val="24"/>
          <w:szCs w:val="24"/>
        </w:rPr>
        <w:t>This indicates that the provisions found in Article 150, Paragraph (3) of the MD3 Law and Article 68, Paragraph (3) of the P3 Law negate the DPD's right to fully engage in the First Discussion, particularly in jointly proposing and discussing the inventory of issues, which is, in fact, the "core" of the discussion on draft laws.</w:t>
      </w:r>
    </w:p>
    <w:p w14:paraId="4291A757" w14:textId="77777777" w:rsidR="00853F5B" w:rsidRPr="00853F5B" w:rsidRDefault="00853F5B" w:rsidP="00853F5B">
      <w:pPr>
        <w:spacing w:after="0" w:line="360" w:lineRule="auto"/>
        <w:ind w:firstLine="851"/>
        <w:jc w:val="both"/>
        <w:rPr>
          <w:rFonts w:ascii="Times New Roman" w:hAnsi="Times New Roman" w:cs="Times New Roman"/>
          <w:sz w:val="24"/>
          <w:szCs w:val="24"/>
        </w:rPr>
      </w:pPr>
      <w:r w:rsidRPr="00853F5B">
        <w:rPr>
          <w:rFonts w:ascii="Times New Roman" w:hAnsi="Times New Roman" w:cs="Times New Roman"/>
          <w:sz w:val="24"/>
          <w:szCs w:val="24"/>
        </w:rPr>
        <w:t>It is well understood that the mini-opinion session following the discussion of the DIM (Daftar Inventarisasi Masalah or Inventory of Issues) serves to reaffirm agreements or remarks regarding the outcomes of the DIM discussion. Consequently, if the DPD is not granted the right to propose DIM and participate in discussions, it will be impossible for the DPD to provide a more comprehensive mini-opinion concerning the authority referred to in Article 22D of the 1945 Constitution.</w:t>
      </w:r>
    </w:p>
    <w:p w14:paraId="48D8F425" w14:textId="2EFB92D0" w:rsidR="0017002D" w:rsidRDefault="00853F5B" w:rsidP="00853F5B">
      <w:pPr>
        <w:spacing w:after="0" w:line="360" w:lineRule="auto"/>
        <w:ind w:firstLine="851"/>
        <w:jc w:val="both"/>
        <w:rPr>
          <w:rFonts w:ascii="Times New Roman" w:hAnsi="Times New Roman" w:cs="Times New Roman"/>
          <w:sz w:val="24"/>
          <w:szCs w:val="24"/>
        </w:rPr>
      </w:pPr>
      <w:r w:rsidRPr="00853F5B">
        <w:rPr>
          <w:rFonts w:ascii="Times New Roman" w:hAnsi="Times New Roman" w:cs="Times New Roman"/>
          <w:sz w:val="24"/>
          <w:szCs w:val="24"/>
        </w:rPr>
        <w:t>If the spirit of checks and balances that characterizes the constitutional norms governing the discussion of draft laws, as articulated in Article 22D, Paragraph (2) of the 1945 Constitution, is interpreted in alignment by the President and the DPR in the formation of the MD3 Law and the P3 Law, then the DPD must be fully involved in discussions regarding specific draft laws as emphasized in Article 22D, Paragraph (2) of the 1945 Constitution. Therefore, the discussion of certain draft laws that includes the DPD should encompass the following stages at a minimum:</w:t>
      </w:r>
    </w:p>
    <w:p w14:paraId="009ADCA1" w14:textId="4FAF481C" w:rsidR="00C85FFC" w:rsidRPr="00C85FFC" w:rsidRDefault="00C85FFC" w:rsidP="00C85FFC">
      <w:pPr>
        <w:pStyle w:val="ListParagraph"/>
        <w:numPr>
          <w:ilvl w:val="1"/>
          <w:numId w:val="12"/>
        </w:numPr>
        <w:spacing w:after="0" w:line="360" w:lineRule="auto"/>
        <w:ind w:left="284" w:hanging="306"/>
        <w:jc w:val="both"/>
        <w:rPr>
          <w:rFonts w:ascii="Times New Roman" w:hAnsi="Times New Roman" w:cs="Times New Roman"/>
          <w:sz w:val="24"/>
          <w:szCs w:val="24"/>
        </w:rPr>
      </w:pPr>
      <w:r w:rsidRPr="00C85FFC">
        <w:rPr>
          <w:rFonts w:ascii="Times New Roman" w:hAnsi="Times New Roman" w:cs="Times New Roman"/>
          <w:sz w:val="24"/>
          <w:szCs w:val="24"/>
        </w:rPr>
        <w:t>The determination of the schedule and agenda for discussions;</w:t>
      </w:r>
    </w:p>
    <w:p w14:paraId="500ECFC6" w14:textId="41F5448E" w:rsidR="00C85FFC" w:rsidRPr="00C85FFC" w:rsidRDefault="00C85FFC" w:rsidP="00C85FFC">
      <w:pPr>
        <w:pStyle w:val="ListParagraph"/>
        <w:numPr>
          <w:ilvl w:val="0"/>
          <w:numId w:val="12"/>
        </w:numPr>
        <w:spacing w:after="0" w:line="360" w:lineRule="auto"/>
        <w:ind w:left="284" w:hanging="306"/>
        <w:jc w:val="both"/>
        <w:rPr>
          <w:rFonts w:ascii="Times New Roman" w:hAnsi="Times New Roman" w:cs="Times New Roman"/>
          <w:sz w:val="24"/>
          <w:szCs w:val="24"/>
        </w:rPr>
      </w:pPr>
      <w:r w:rsidRPr="00C85FFC">
        <w:rPr>
          <w:rFonts w:ascii="Times New Roman" w:hAnsi="Times New Roman" w:cs="Times New Roman"/>
          <w:sz w:val="24"/>
          <w:szCs w:val="24"/>
        </w:rPr>
        <w:t>The views of the DPD on the Regional Autonomy Bill and the Village Bill;</w:t>
      </w:r>
    </w:p>
    <w:p w14:paraId="6345BD1D" w14:textId="572AEB9C" w:rsidR="00C85FFC" w:rsidRPr="00C85FFC" w:rsidRDefault="00C85FFC" w:rsidP="00C85FFC">
      <w:pPr>
        <w:pStyle w:val="ListParagraph"/>
        <w:numPr>
          <w:ilvl w:val="0"/>
          <w:numId w:val="12"/>
        </w:numPr>
        <w:spacing w:after="0" w:line="360" w:lineRule="auto"/>
        <w:ind w:left="284" w:hanging="306"/>
        <w:jc w:val="both"/>
        <w:rPr>
          <w:rFonts w:ascii="Times New Roman" w:hAnsi="Times New Roman" w:cs="Times New Roman"/>
          <w:sz w:val="24"/>
          <w:szCs w:val="24"/>
        </w:rPr>
      </w:pPr>
      <w:r w:rsidRPr="00C85FFC">
        <w:rPr>
          <w:rFonts w:ascii="Times New Roman" w:hAnsi="Times New Roman" w:cs="Times New Roman"/>
          <w:sz w:val="24"/>
          <w:szCs w:val="24"/>
        </w:rPr>
        <w:lastRenderedPageBreak/>
        <w:t>Joint hearings (RDP) and public consultations (RDPU) conducted collaboratively between the DPR and the DPD;</w:t>
      </w:r>
    </w:p>
    <w:p w14:paraId="0574F335" w14:textId="204C4615" w:rsidR="00C85FFC" w:rsidRPr="00C85FFC" w:rsidRDefault="00C85FFC" w:rsidP="00C85FFC">
      <w:pPr>
        <w:pStyle w:val="ListParagraph"/>
        <w:numPr>
          <w:ilvl w:val="0"/>
          <w:numId w:val="12"/>
        </w:numPr>
        <w:spacing w:after="0" w:line="360" w:lineRule="auto"/>
        <w:ind w:left="284" w:hanging="306"/>
        <w:jc w:val="both"/>
        <w:rPr>
          <w:rFonts w:ascii="Times New Roman" w:hAnsi="Times New Roman" w:cs="Times New Roman"/>
          <w:sz w:val="24"/>
          <w:szCs w:val="24"/>
        </w:rPr>
      </w:pPr>
      <w:r w:rsidRPr="00C85FFC">
        <w:rPr>
          <w:rFonts w:ascii="Times New Roman" w:hAnsi="Times New Roman" w:cs="Times New Roman"/>
          <w:sz w:val="24"/>
          <w:szCs w:val="24"/>
        </w:rPr>
        <w:t>Joint working visits between the DPR and the DPD; and</w:t>
      </w:r>
    </w:p>
    <w:p w14:paraId="794EE209" w14:textId="3A9191BC" w:rsidR="004F61ED" w:rsidRDefault="00C85FFC" w:rsidP="00C85FFC">
      <w:pPr>
        <w:pStyle w:val="ListParagraph"/>
        <w:numPr>
          <w:ilvl w:val="0"/>
          <w:numId w:val="12"/>
        </w:numPr>
        <w:spacing w:after="0" w:line="360" w:lineRule="auto"/>
        <w:ind w:left="284" w:hanging="306"/>
        <w:jc w:val="both"/>
        <w:rPr>
          <w:rFonts w:ascii="Times New Roman" w:hAnsi="Times New Roman" w:cs="Times New Roman"/>
          <w:sz w:val="24"/>
          <w:szCs w:val="24"/>
        </w:rPr>
      </w:pPr>
      <w:r w:rsidRPr="00C85FFC">
        <w:rPr>
          <w:rFonts w:ascii="Times New Roman" w:hAnsi="Times New Roman" w:cs="Times New Roman"/>
          <w:sz w:val="24"/>
          <w:szCs w:val="24"/>
        </w:rPr>
        <w:t>The formulation of the DPD's position and the Inventory of Issues (DIM), as well as its submission and discussion within the DPR's legislative apparatus.</w:t>
      </w:r>
    </w:p>
    <w:p w14:paraId="38AAFBDA" w14:textId="31BDAB4B" w:rsidR="00A4511A" w:rsidRDefault="00A4511A" w:rsidP="00A4511A">
      <w:pPr>
        <w:pStyle w:val="ListParagraph"/>
        <w:spacing w:after="0" w:line="360" w:lineRule="auto"/>
        <w:ind w:left="0"/>
        <w:jc w:val="both"/>
        <w:rPr>
          <w:rFonts w:ascii="Times New Roman" w:hAnsi="Times New Roman" w:cs="Times New Roman"/>
          <w:sz w:val="24"/>
          <w:szCs w:val="24"/>
        </w:rPr>
      </w:pPr>
      <w:r w:rsidRPr="00A4511A">
        <w:rPr>
          <w:rFonts w:ascii="Times New Roman" w:hAnsi="Times New Roman" w:cs="Times New Roman"/>
          <w:sz w:val="24"/>
          <w:szCs w:val="24"/>
        </w:rPr>
        <w:t>Each of the aforementioned stages is discussed collectively by the legislative bodies (DPR and DPD) that handle legislative matters, specifically the Legislative Body (Baleg) and the Parliamentary Committee on Law (PPUU), as well as the commissions or special committees in the DPR and the committees in the DPD. However, such stages are not found within the entirety of the provisions of the MD3 Law and the P3 Law that pertain to the discussion of specific draft laws.</w:t>
      </w:r>
    </w:p>
    <w:p w14:paraId="619D6561" w14:textId="77777777" w:rsidR="007B0502" w:rsidRDefault="007B0502" w:rsidP="00A4511A">
      <w:pPr>
        <w:pStyle w:val="ListParagraph"/>
        <w:spacing w:after="0" w:line="360" w:lineRule="auto"/>
        <w:ind w:left="0"/>
        <w:jc w:val="both"/>
        <w:rPr>
          <w:rFonts w:ascii="Times New Roman" w:hAnsi="Times New Roman" w:cs="Times New Roman"/>
          <w:sz w:val="24"/>
          <w:szCs w:val="24"/>
        </w:rPr>
      </w:pPr>
    </w:p>
    <w:p w14:paraId="37F113E7" w14:textId="1475BD40" w:rsidR="007B0502" w:rsidRDefault="007B0502" w:rsidP="00A4511A">
      <w:pPr>
        <w:pStyle w:val="ListParagraph"/>
        <w:spacing w:after="0" w:line="360" w:lineRule="auto"/>
        <w:ind w:left="0"/>
        <w:jc w:val="both"/>
        <w:rPr>
          <w:rFonts w:ascii="Times New Roman" w:hAnsi="Times New Roman" w:cs="Times New Roman"/>
          <w:b/>
          <w:bCs/>
          <w:sz w:val="24"/>
          <w:szCs w:val="24"/>
        </w:rPr>
      </w:pPr>
      <w:r w:rsidRPr="007B0502">
        <w:rPr>
          <w:rFonts w:ascii="Times New Roman" w:hAnsi="Times New Roman" w:cs="Times New Roman"/>
          <w:b/>
          <w:bCs/>
          <w:sz w:val="24"/>
          <w:szCs w:val="24"/>
        </w:rPr>
        <w:t xml:space="preserve">III. </w:t>
      </w:r>
      <w:r w:rsidRPr="007B0502">
        <w:rPr>
          <w:rFonts w:ascii="Times New Roman" w:hAnsi="Times New Roman" w:cs="Times New Roman"/>
          <w:b/>
          <w:bCs/>
          <w:sz w:val="24"/>
          <w:szCs w:val="24"/>
        </w:rPr>
        <w:t>CONCLUSION</w:t>
      </w:r>
    </w:p>
    <w:p w14:paraId="2711C0D6" w14:textId="77777777" w:rsidR="00770E9E" w:rsidRPr="00770E9E" w:rsidRDefault="00770E9E" w:rsidP="00770E9E">
      <w:pPr>
        <w:pStyle w:val="ListParagraph"/>
        <w:spacing w:after="0" w:line="360" w:lineRule="auto"/>
        <w:ind w:left="0" w:firstLine="851"/>
        <w:jc w:val="both"/>
        <w:rPr>
          <w:rFonts w:ascii="Times New Roman" w:hAnsi="Times New Roman" w:cs="Times New Roman"/>
          <w:sz w:val="24"/>
          <w:szCs w:val="24"/>
        </w:rPr>
      </w:pPr>
      <w:r w:rsidRPr="00770E9E">
        <w:rPr>
          <w:rFonts w:ascii="Times New Roman" w:hAnsi="Times New Roman" w:cs="Times New Roman"/>
          <w:sz w:val="24"/>
          <w:szCs w:val="24"/>
        </w:rPr>
        <w:t>Based on the discussions outlined above, it can be concluded that the MD3 Law and the P3 Law represent a tangible form of political engineering that undermines the spirit of checks and balances between the DPR and the DPD in the legislative process as regulated by the 1945 Constitution of the Republic of Indonesia. Moreover, this represents not only political engineering but also a political and constitutional marginalization of regional interests within the framework of national political policies.</w:t>
      </w:r>
    </w:p>
    <w:p w14:paraId="6F1F9D91" w14:textId="77777777" w:rsidR="00770E9E" w:rsidRDefault="00770E9E" w:rsidP="00770E9E">
      <w:pPr>
        <w:pStyle w:val="ListParagraph"/>
        <w:spacing w:after="0" w:line="360" w:lineRule="auto"/>
        <w:ind w:left="0" w:firstLine="851"/>
        <w:jc w:val="both"/>
        <w:rPr>
          <w:rFonts w:ascii="Times New Roman" w:hAnsi="Times New Roman" w:cs="Times New Roman"/>
          <w:sz w:val="24"/>
          <w:szCs w:val="24"/>
        </w:rPr>
      </w:pPr>
      <w:r w:rsidRPr="00770E9E">
        <w:rPr>
          <w:rFonts w:ascii="Times New Roman" w:hAnsi="Times New Roman" w:cs="Times New Roman"/>
          <w:sz w:val="24"/>
          <w:szCs w:val="24"/>
        </w:rPr>
        <w:t>The political engineering concerning the representation of regions by the DPD and the marginalization of regional interests within the framework of national political policies is evident from the following indicators:</w:t>
      </w:r>
    </w:p>
    <w:p w14:paraId="3C050BEA" w14:textId="2C81C813" w:rsidR="00770E9E" w:rsidRPr="00770E9E" w:rsidRDefault="00770E9E" w:rsidP="00770E9E">
      <w:pPr>
        <w:pStyle w:val="ListParagraph"/>
        <w:numPr>
          <w:ilvl w:val="0"/>
          <w:numId w:val="17"/>
        </w:numPr>
        <w:spacing w:after="0" w:line="360" w:lineRule="auto"/>
        <w:ind w:left="284" w:hanging="284"/>
        <w:jc w:val="both"/>
        <w:rPr>
          <w:rFonts w:ascii="Times New Roman" w:hAnsi="Times New Roman" w:cs="Times New Roman"/>
          <w:sz w:val="24"/>
          <w:szCs w:val="24"/>
        </w:rPr>
      </w:pPr>
      <w:r w:rsidRPr="00770E9E">
        <w:rPr>
          <w:rFonts w:ascii="Times New Roman" w:hAnsi="Times New Roman" w:cs="Times New Roman"/>
          <w:sz w:val="24"/>
          <w:szCs w:val="24"/>
        </w:rPr>
        <w:t>In the initial stage of planning the national political policy formulation, manifested through the development of the legislative program (Prolegnas), the involvement of the DPD, which represents regional interests, is minimal. The process of formulating the Prolegnas is characterized by a "top-down" approach, where the role and position of the DPD to contribute thoughts in a "bottom-up" manner are not fully accommodated in the MD3 Law and the P3 Law.</w:t>
      </w:r>
    </w:p>
    <w:p w14:paraId="28A6D9F7" w14:textId="7E223F71" w:rsidR="00770E9E" w:rsidRPr="00770E9E" w:rsidRDefault="00770E9E" w:rsidP="00770E9E">
      <w:pPr>
        <w:pStyle w:val="ListParagraph"/>
        <w:numPr>
          <w:ilvl w:val="0"/>
          <w:numId w:val="17"/>
        </w:numPr>
        <w:spacing w:after="0" w:line="360" w:lineRule="auto"/>
        <w:ind w:left="284" w:hanging="284"/>
        <w:jc w:val="both"/>
        <w:rPr>
          <w:rFonts w:ascii="Times New Roman" w:hAnsi="Times New Roman" w:cs="Times New Roman"/>
          <w:sz w:val="24"/>
          <w:szCs w:val="24"/>
        </w:rPr>
      </w:pPr>
      <w:r w:rsidRPr="00770E9E">
        <w:rPr>
          <w:rFonts w:ascii="Times New Roman" w:hAnsi="Times New Roman" w:cs="Times New Roman"/>
          <w:sz w:val="24"/>
          <w:szCs w:val="24"/>
        </w:rPr>
        <w:t xml:space="preserve">In the stage of proposing specific draft laws, the role and function of the DPD, as guaranteed by Article 22D Paragraph (1) of the 1945 Constitution of the Republic of Indonesia, are diminished by the DPR. Even specific draft laws originating from the DPD are politically claimed to be equivalent to proposals from members of the DPR, commissions, joint commissions, or the legislative apparatus of the DPR. This situation results in the existence of the DPD being constructed "as if" it were merely part of the DPR or its apparatus in the </w:t>
      </w:r>
      <w:r w:rsidRPr="00770E9E">
        <w:rPr>
          <w:rFonts w:ascii="Times New Roman" w:hAnsi="Times New Roman" w:cs="Times New Roman"/>
          <w:sz w:val="24"/>
          <w:szCs w:val="24"/>
        </w:rPr>
        <w:lastRenderedPageBreak/>
        <w:t>process of proposing draft laws. Systemically, the phrase "to propose a draft law," as guaranteed by Article 22D Paragraph (1) of the 1945 Constitution, is further interpreted by altering it to the phrase "proposal for a draft law."</w:t>
      </w:r>
    </w:p>
    <w:p w14:paraId="240496EC" w14:textId="1C1944AE" w:rsidR="00770E9E" w:rsidRPr="00770E9E" w:rsidRDefault="00770E9E" w:rsidP="00770E9E">
      <w:pPr>
        <w:pStyle w:val="ListParagraph"/>
        <w:numPr>
          <w:ilvl w:val="0"/>
          <w:numId w:val="17"/>
        </w:numPr>
        <w:spacing w:after="0" w:line="360" w:lineRule="auto"/>
        <w:ind w:left="284" w:hanging="284"/>
        <w:jc w:val="both"/>
        <w:rPr>
          <w:rFonts w:ascii="Times New Roman" w:hAnsi="Times New Roman" w:cs="Times New Roman"/>
          <w:sz w:val="24"/>
          <w:szCs w:val="24"/>
        </w:rPr>
      </w:pPr>
      <w:r w:rsidRPr="00770E9E">
        <w:rPr>
          <w:rFonts w:ascii="Times New Roman" w:hAnsi="Times New Roman" w:cs="Times New Roman"/>
          <w:sz w:val="24"/>
          <w:szCs w:val="24"/>
        </w:rPr>
        <w:t>In the stage of discussing specific draft laws, the DPD merely serves as an "accessory" since the presence or absence of the DPD's considerations regarding a specific draft law does not bind the DPR and the President to decide that draft law into law.</w:t>
      </w:r>
    </w:p>
    <w:p w14:paraId="01D10285" w14:textId="77777777" w:rsidR="007969F9" w:rsidRDefault="007969F9" w:rsidP="007969F9">
      <w:pPr>
        <w:pStyle w:val="ListParagraph"/>
        <w:spacing w:after="0" w:line="360" w:lineRule="auto"/>
        <w:ind w:left="0" w:firstLine="851"/>
        <w:jc w:val="both"/>
        <w:rPr>
          <w:rFonts w:ascii="Times New Roman" w:hAnsi="Times New Roman" w:cs="Times New Roman"/>
          <w:sz w:val="24"/>
          <w:szCs w:val="24"/>
        </w:rPr>
      </w:pPr>
      <w:r w:rsidRPr="007969F9">
        <w:rPr>
          <w:rFonts w:ascii="Times New Roman" w:hAnsi="Times New Roman" w:cs="Times New Roman"/>
          <w:sz w:val="24"/>
          <w:szCs w:val="24"/>
        </w:rPr>
        <w:t>Based on these three indicators, the mechanism of checks and balances within the Indonesian constitutional system following the amendment of the 1945 Constitution of the Republic of Indonesia—particularly among the three pillars of legislative power (the President, the DPR, and the DPD) concerning the mechanism for the formation of laws related to regional interests—has not been implemented in a pure and consistent manner. It can even be stated that "a systemic deception regarding the legislative function of the DPD has occurred." This means that the President and the DPR do not take into account the regional interests represented by the DPD; instead, they continue to focus on political interests. Therefore, if this condition persists and is legitimized through legal products in the form of laws, it is not impossible that the "mosaic" of the diversity of regional interests framed within the paradigm of the Unitary State of the Republic of Indonesia will be fragmented. Tensions between the central government and the regions will continue to characterize the Indonesian constitutional system.</w:t>
      </w:r>
    </w:p>
    <w:p w14:paraId="31A8D0F4" w14:textId="77777777" w:rsidR="004B00AC" w:rsidRDefault="004B00AC" w:rsidP="007969F9">
      <w:pPr>
        <w:pStyle w:val="ListParagraph"/>
        <w:spacing w:after="0" w:line="360" w:lineRule="auto"/>
        <w:ind w:left="0" w:firstLine="851"/>
        <w:jc w:val="both"/>
        <w:rPr>
          <w:rFonts w:ascii="Times New Roman" w:hAnsi="Times New Roman" w:cs="Times New Roman"/>
          <w:sz w:val="24"/>
          <w:szCs w:val="24"/>
        </w:rPr>
      </w:pPr>
    </w:p>
    <w:p w14:paraId="654BF3B4" w14:textId="77777777" w:rsidR="004B00AC" w:rsidRPr="004B00AC" w:rsidRDefault="004B00AC" w:rsidP="004B00AC">
      <w:pPr>
        <w:pStyle w:val="ListParagraph"/>
        <w:spacing w:after="0" w:line="360" w:lineRule="auto"/>
        <w:ind w:left="0"/>
        <w:jc w:val="both"/>
        <w:rPr>
          <w:rFonts w:ascii="Times New Roman" w:hAnsi="Times New Roman" w:cs="Times New Roman"/>
          <w:sz w:val="24"/>
          <w:szCs w:val="24"/>
        </w:rPr>
      </w:pPr>
      <w:r w:rsidRPr="004B00AC">
        <w:rPr>
          <w:rFonts w:ascii="Times New Roman" w:hAnsi="Times New Roman" w:cs="Times New Roman"/>
          <w:b/>
          <w:bCs/>
          <w:sz w:val="24"/>
          <w:szCs w:val="24"/>
        </w:rPr>
        <w:t>References</w:t>
      </w:r>
    </w:p>
    <w:p w14:paraId="2DD11AC1" w14:textId="77777777" w:rsid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Albert H. Y. Chen, 2000. </w:t>
      </w:r>
      <w:r w:rsidRPr="004B00AC">
        <w:rPr>
          <w:rFonts w:ascii="Times New Roman" w:hAnsi="Times New Roman" w:cs="Times New Roman"/>
          <w:i/>
          <w:iCs/>
          <w:sz w:val="24"/>
          <w:szCs w:val="24"/>
        </w:rPr>
        <w:t>The Interpretation of the Basic Law: Common Law and Mainland Chinese Perspectives.</w:t>
      </w:r>
      <w:r w:rsidRPr="004B00AC">
        <w:rPr>
          <w:rFonts w:ascii="Times New Roman" w:hAnsi="Times New Roman" w:cs="Times New Roman"/>
          <w:sz w:val="24"/>
          <w:szCs w:val="24"/>
        </w:rPr>
        <w:t xml:space="preserve"> Hong Kong Journal Ltd, Hong Kong.</w:t>
      </w:r>
    </w:p>
    <w:p w14:paraId="0D76E376"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49FC3A33" w14:textId="77777777" w:rsid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Craig R. Ducat, 2004. </w:t>
      </w:r>
      <w:r w:rsidRPr="004B00AC">
        <w:rPr>
          <w:rFonts w:ascii="Times New Roman" w:hAnsi="Times New Roman" w:cs="Times New Roman"/>
          <w:i/>
          <w:iCs/>
          <w:sz w:val="24"/>
          <w:szCs w:val="24"/>
        </w:rPr>
        <w:t>Constitutional Interpretation.</w:t>
      </w:r>
      <w:r w:rsidRPr="004B00AC">
        <w:rPr>
          <w:rFonts w:ascii="Times New Roman" w:hAnsi="Times New Roman" w:cs="Times New Roman"/>
          <w:sz w:val="24"/>
          <w:szCs w:val="24"/>
        </w:rPr>
        <w:t xml:space="preserve"> Wordsworth Classic, California.</w:t>
      </w:r>
    </w:p>
    <w:p w14:paraId="2AB34CC2"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6C51996E" w14:textId="77777777" w:rsid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Charles Sampford (Ed.), 1996. </w:t>
      </w:r>
      <w:r w:rsidRPr="004B00AC">
        <w:rPr>
          <w:rFonts w:ascii="Times New Roman" w:hAnsi="Times New Roman" w:cs="Times New Roman"/>
          <w:i/>
          <w:iCs/>
          <w:sz w:val="24"/>
          <w:szCs w:val="24"/>
        </w:rPr>
        <w:t>Interpreting Constitutions: Theories, Principles and Institutions.</w:t>
      </w:r>
      <w:r w:rsidRPr="004B00AC">
        <w:rPr>
          <w:rFonts w:ascii="Times New Roman" w:hAnsi="Times New Roman" w:cs="Times New Roman"/>
          <w:sz w:val="24"/>
          <w:szCs w:val="24"/>
        </w:rPr>
        <w:t xml:space="preserve"> The Federation Press, Sydney.</w:t>
      </w:r>
    </w:p>
    <w:p w14:paraId="488CA7A5"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1178082D" w14:textId="77777777" w:rsid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Hanna Fenichel Pettkin, 1980. </w:t>
      </w:r>
      <w:r w:rsidRPr="004B00AC">
        <w:rPr>
          <w:rFonts w:ascii="Times New Roman" w:hAnsi="Times New Roman" w:cs="Times New Roman"/>
          <w:i/>
          <w:iCs/>
          <w:sz w:val="24"/>
          <w:szCs w:val="24"/>
        </w:rPr>
        <w:t>The Concept of Representation.</w:t>
      </w:r>
      <w:r w:rsidRPr="004B00AC">
        <w:rPr>
          <w:rFonts w:ascii="Times New Roman" w:hAnsi="Times New Roman" w:cs="Times New Roman"/>
          <w:sz w:val="24"/>
          <w:szCs w:val="24"/>
        </w:rPr>
        <w:t xml:space="preserve"> University of California Press, California.</w:t>
      </w:r>
    </w:p>
    <w:p w14:paraId="74431A78"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44DE5986" w14:textId="77777777" w:rsid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Hristo D. Dimitrov, 1999. "The Bulgarian Constitutional Court and Its Interpretive Jurisdiction," in </w:t>
      </w:r>
      <w:r w:rsidRPr="004B00AC">
        <w:rPr>
          <w:rFonts w:ascii="Times New Roman" w:hAnsi="Times New Roman" w:cs="Times New Roman"/>
          <w:i/>
          <w:iCs/>
          <w:sz w:val="24"/>
          <w:szCs w:val="24"/>
        </w:rPr>
        <w:t>The Constitutional Court's Interpretive Jurisdiction: The Advantages of an Authoritative, Non-Adversarial, and Prospective Process of Constitutional Interpretation.</w:t>
      </w:r>
      <w:r w:rsidRPr="004B00AC">
        <w:rPr>
          <w:rFonts w:ascii="Times New Roman" w:hAnsi="Times New Roman" w:cs="Times New Roman"/>
          <w:sz w:val="24"/>
          <w:szCs w:val="24"/>
        </w:rPr>
        <w:t xml:space="preserve"> Columbia Journal of Transnational Law Association, Inc., Columbia.</w:t>
      </w:r>
    </w:p>
    <w:p w14:paraId="469BA7EC"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211D45D8" w14:textId="77777777" w:rsid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John Kingdon, 1995. </w:t>
      </w:r>
      <w:r w:rsidRPr="004B00AC">
        <w:rPr>
          <w:rFonts w:ascii="Times New Roman" w:hAnsi="Times New Roman" w:cs="Times New Roman"/>
          <w:i/>
          <w:iCs/>
          <w:sz w:val="24"/>
          <w:szCs w:val="24"/>
        </w:rPr>
        <w:t>Agendas, Alternatives, and Public Policies.</w:t>
      </w:r>
      <w:r w:rsidRPr="004B00AC">
        <w:rPr>
          <w:rFonts w:ascii="Times New Roman" w:hAnsi="Times New Roman" w:cs="Times New Roman"/>
          <w:sz w:val="24"/>
          <w:szCs w:val="24"/>
        </w:rPr>
        <w:t xml:space="preserve"> Harper Collins Publishers, New York.</w:t>
      </w:r>
    </w:p>
    <w:p w14:paraId="1A17F322"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7B0D32FA" w14:textId="77777777" w:rsid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lastRenderedPageBreak/>
        <w:t xml:space="preserve">Jack N. Rakove (Ed.), 1990. </w:t>
      </w:r>
      <w:r w:rsidRPr="004B00AC">
        <w:rPr>
          <w:rFonts w:ascii="Times New Roman" w:hAnsi="Times New Roman" w:cs="Times New Roman"/>
          <w:i/>
          <w:iCs/>
          <w:sz w:val="24"/>
          <w:szCs w:val="24"/>
        </w:rPr>
        <w:t>Interpreting the Constitution: The Debate Over Original Intent.</w:t>
      </w:r>
      <w:r w:rsidRPr="004B00AC">
        <w:rPr>
          <w:rFonts w:ascii="Times New Roman" w:hAnsi="Times New Roman" w:cs="Times New Roman"/>
          <w:sz w:val="24"/>
          <w:szCs w:val="24"/>
        </w:rPr>
        <w:t xml:space="preserve"> Michigan Northeastern University Press.</w:t>
      </w:r>
    </w:p>
    <w:p w14:paraId="0F97E28F"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446993E9" w14:textId="77777777" w:rsid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Jeffrey Goldsworthy (Ed.), 2006. </w:t>
      </w:r>
      <w:r w:rsidRPr="004B00AC">
        <w:rPr>
          <w:rFonts w:ascii="Times New Roman" w:hAnsi="Times New Roman" w:cs="Times New Roman"/>
          <w:i/>
          <w:iCs/>
          <w:sz w:val="24"/>
          <w:szCs w:val="24"/>
        </w:rPr>
        <w:t>Interpreting Constitutions: A Comparative Study.</w:t>
      </w:r>
      <w:r w:rsidRPr="004B00AC">
        <w:rPr>
          <w:rFonts w:ascii="Times New Roman" w:hAnsi="Times New Roman" w:cs="Times New Roman"/>
          <w:sz w:val="24"/>
          <w:szCs w:val="24"/>
        </w:rPr>
        <w:t xml:space="preserve"> Oxford University Press, New York.</w:t>
      </w:r>
    </w:p>
    <w:p w14:paraId="054738FD"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215C2B7C" w14:textId="77777777" w:rsid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Keith E. Whittington, 1999. </w:t>
      </w:r>
      <w:r w:rsidRPr="004B00AC">
        <w:rPr>
          <w:rFonts w:ascii="Times New Roman" w:hAnsi="Times New Roman" w:cs="Times New Roman"/>
          <w:i/>
          <w:iCs/>
          <w:sz w:val="24"/>
          <w:szCs w:val="24"/>
        </w:rPr>
        <w:t>Constitutional Interpretation: Textual Meaning, Original Intent, and Judicial Review.</w:t>
      </w:r>
      <w:r w:rsidRPr="004B00AC">
        <w:rPr>
          <w:rFonts w:ascii="Times New Roman" w:hAnsi="Times New Roman" w:cs="Times New Roman"/>
          <w:sz w:val="24"/>
          <w:szCs w:val="24"/>
        </w:rPr>
        <w:t xml:space="preserve"> University Press of Kansas, Kansas.</w:t>
      </w:r>
    </w:p>
    <w:p w14:paraId="0276F87A"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67FD05B7" w14:textId="77777777" w:rsid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Satjipto Rahardjo, 2006. </w:t>
      </w:r>
      <w:r w:rsidRPr="004B00AC">
        <w:rPr>
          <w:rFonts w:ascii="Times New Roman" w:hAnsi="Times New Roman" w:cs="Times New Roman"/>
          <w:i/>
          <w:iCs/>
          <w:sz w:val="24"/>
          <w:szCs w:val="24"/>
        </w:rPr>
        <w:t>Ilmu Hukum.</w:t>
      </w:r>
      <w:r w:rsidRPr="004B00AC">
        <w:rPr>
          <w:rFonts w:ascii="Times New Roman" w:hAnsi="Times New Roman" w:cs="Times New Roman"/>
          <w:sz w:val="24"/>
          <w:szCs w:val="24"/>
        </w:rPr>
        <w:t xml:space="preserve"> PT Citra Aditya Bakti, Bandung.</w:t>
      </w:r>
    </w:p>
    <w:p w14:paraId="58A887E1"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70D13D3B" w14:textId="77777777" w:rsid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Sudikno Mertokusumo and A. Pitlo, 1993. </w:t>
      </w:r>
      <w:r w:rsidRPr="004B00AC">
        <w:rPr>
          <w:rFonts w:ascii="Times New Roman" w:hAnsi="Times New Roman" w:cs="Times New Roman"/>
          <w:i/>
          <w:iCs/>
          <w:sz w:val="24"/>
          <w:szCs w:val="24"/>
        </w:rPr>
        <w:t>Chapters on Legal Discovery.</w:t>
      </w:r>
      <w:r w:rsidRPr="004B00AC">
        <w:rPr>
          <w:rFonts w:ascii="Times New Roman" w:hAnsi="Times New Roman" w:cs="Times New Roman"/>
          <w:sz w:val="24"/>
          <w:szCs w:val="24"/>
        </w:rPr>
        <w:t xml:space="preserve"> PT. Citra Aditya Bakti, Bandung.</w:t>
      </w:r>
    </w:p>
    <w:p w14:paraId="29EBF943"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2626F506" w14:textId="77777777" w:rsid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Teguh Yuwono, 2022. </w:t>
      </w:r>
      <w:r w:rsidRPr="004B00AC">
        <w:rPr>
          <w:rFonts w:ascii="Times New Roman" w:hAnsi="Times New Roman" w:cs="Times New Roman"/>
          <w:i/>
          <w:iCs/>
          <w:sz w:val="24"/>
          <w:szCs w:val="24"/>
        </w:rPr>
        <w:t>Decentralization and Regional Autonomy: Challenges for Regional Development in the Era of Democracy.</w:t>
      </w:r>
      <w:r w:rsidRPr="004B00AC">
        <w:rPr>
          <w:rFonts w:ascii="Times New Roman" w:hAnsi="Times New Roman" w:cs="Times New Roman"/>
          <w:sz w:val="24"/>
          <w:szCs w:val="24"/>
        </w:rPr>
        <w:t xml:space="preserve"> Gadjah Mada University Press, Yogyakarta.</w:t>
      </w:r>
    </w:p>
    <w:p w14:paraId="43FCF25A"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3F92B2EF" w14:textId="77777777" w:rsidR="004B00AC" w:rsidRDefault="004B00AC" w:rsidP="004B00AC">
      <w:pPr>
        <w:pStyle w:val="ListParagraph"/>
        <w:spacing w:after="0" w:line="240" w:lineRule="auto"/>
        <w:ind w:left="851" w:hanging="851"/>
        <w:jc w:val="both"/>
        <w:rPr>
          <w:rFonts w:ascii="Times New Roman" w:hAnsi="Times New Roman" w:cs="Times New Roman"/>
          <w:b/>
          <w:bCs/>
          <w:sz w:val="24"/>
          <w:szCs w:val="24"/>
        </w:rPr>
      </w:pPr>
      <w:r w:rsidRPr="004B00AC">
        <w:rPr>
          <w:rFonts w:ascii="Times New Roman" w:hAnsi="Times New Roman" w:cs="Times New Roman"/>
          <w:b/>
          <w:bCs/>
          <w:sz w:val="24"/>
          <w:szCs w:val="24"/>
        </w:rPr>
        <w:t>Journals</w:t>
      </w:r>
    </w:p>
    <w:p w14:paraId="0B75710A"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79E746CC"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Fahrul Reza, 2019. "The DPD as a Law-Making Body and Its Role in Legislative Functions Post Constitutional Court Decision," </w:t>
      </w:r>
      <w:r w:rsidRPr="004B00AC">
        <w:rPr>
          <w:rFonts w:ascii="Times New Roman" w:hAnsi="Times New Roman" w:cs="Times New Roman"/>
          <w:i/>
          <w:iCs/>
          <w:sz w:val="24"/>
          <w:szCs w:val="24"/>
        </w:rPr>
        <w:t>Jurnal Media Syari’ah,</w:t>
      </w:r>
      <w:r w:rsidRPr="004B00AC">
        <w:rPr>
          <w:rFonts w:ascii="Times New Roman" w:hAnsi="Times New Roman" w:cs="Times New Roman"/>
          <w:sz w:val="24"/>
          <w:szCs w:val="24"/>
        </w:rPr>
        <w:t xml:space="preserve"> Vol. 21, No. 1.</w:t>
      </w:r>
    </w:p>
    <w:p w14:paraId="3894075B"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Farahdiba Rahma Bachtiar, 2014. "Indonesian Elections: The Orientation of Democratic States from Various Representations," </w:t>
      </w:r>
      <w:r w:rsidRPr="004B00AC">
        <w:rPr>
          <w:rFonts w:ascii="Times New Roman" w:hAnsi="Times New Roman" w:cs="Times New Roman"/>
          <w:i/>
          <w:iCs/>
          <w:sz w:val="24"/>
          <w:szCs w:val="24"/>
        </w:rPr>
        <w:t>Jurnal Politik Profetik,</w:t>
      </w:r>
      <w:r w:rsidRPr="004B00AC">
        <w:rPr>
          <w:rFonts w:ascii="Times New Roman" w:hAnsi="Times New Roman" w:cs="Times New Roman"/>
          <w:sz w:val="24"/>
          <w:szCs w:val="24"/>
        </w:rPr>
        <w:t xml:space="preserve"> Volume 3, No. 1.</w:t>
      </w:r>
    </w:p>
    <w:p w14:paraId="21EB02A8"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I Dewa Gede Palguna in Novianto M. Hantoro, 2013. "The Authority of the Regional Representative Council in Law Formation Post Constitutional Court Decision Number 92/PUU-X/2012," </w:t>
      </w:r>
      <w:r w:rsidRPr="004B00AC">
        <w:rPr>
          <w:rFonts w:ascii="Times New Roman" w:hAnsi="Times New Roman" w:cs="Times New Roman"/>
          <w:i/>
          <w:iCs/>
          <w:sz w:val="24"/>
          <w:szCs w:val="24"/>
        </w:rPr>
        <w:t>Jurnal Negara Hukum,</w:t>
      </w:r>
      <w:r w:rsidRPr="004B00AC">
        <w:rPr>
          <w:rFonts w:ascii="Times New Roman" w:hAnsi="Times New Roman" w:cs="Times New Roman"/>
          <w:sz w:val="24"/>
          <w:szCs w:val="24"/>
        </w:rPr>
        <w:t xml:space="preserve"> Vol. 4, No. 2, November.</w:t>
      </w:r>
    </w:p>
    <w:p w14:paraId="4FD19D47"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Mira Fajriyah, 2016. "Legal Reflection on the Establishment of the National Legislative Program in the Indonesian House of Representatives," </w:t>
      </w:r>
      <w:r w:rsidRPr="004B00AC">
        <w:rPr>
          <w:rFonts w:ascii="Times New Roman" w:hAnsi="Times New Roman" w:cs="Times New Roman"/>
          <w:i/>
          <w:iCs/>
          <w:sz w:val="24"/>
          <w:szCs w:val="24"/>
        </w:rPr>
        <w:t>Jurnal Konstitusi,</w:t>
      </w:r>
      <w:r w:rsidRPr="004B00AC">
        <w:rPr>
          <w:rFonts w:ascii="Times New Roman" w:hAnsi="Times New Roman" w:cs="Times New Roman"/>
          <w:sz w:val="24"/>
          <w:szCs w:val="24"/>
        </w:rPr>
        <w:t xml:space="preserve"> Volume 13, No. 1, March.</w:t>
      </w:r>
    </w:p>
    <w:p w14:paraId="378B9A1D"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Syawaluddin Hanafi, 2017. "The Authority of the Constitutional Court in Interpreting the 1945 Constitution of the Republic of Indonesia," </w:t>
      </w:r>
      <w:r w:rsidRPr="004B00AC">
        <w:rPr>
          <w:rFonts w:ascii="Times New Roman" w:hAnsi="Times New Roman" w:cs="Times New Roman"/>
          <w:i/>
          <w:iCs/>
          <w:sz w:val="24"/>
          <w:szCs w:val="24"/>
        </w:rPr>
        <w:t>Jurnal Ekspose,</w:t>
      </w:r>
      <w:r w:rsidRPr="004B00AC">
        <w:rPr>
          <w:rFonts w:ascii="Times New Roman" w:hAnsi="Times New Roman" w:cs="Times New Roman"/>
          <w:sz w:val="24"/>
          <w:szCs w:val="24"/>
        </w:rPr>
        <w:t xml:space="preserve"> Volume 16, No. 1, January-June.</w:t>
      </w:r>
    </w:p>
    <w:p w14:paraId="01A424E7"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Tifani Rizki Dianisa and Gayatri Dyah Suprobowati, 2022. "The Application of Legislative Theory in the Formation of Regulatory Legislation," </w:t>
      </w:r>
      <w:r w:rsidRPr="004B00AC">
        <w:rPr>
          <w:rFonts w:ascii="Times New Roman" w:hAnsi="Times New Roman" w:cs="Times New Roman"/>
          <w:i/>
          <w:iCs/>
          <w:sz w:val="24"/>
          <w:szCs w:val="24"/>
        </w:rPr>
        <w:t>Jurnal Demokrasi dan Ketahanan Nasional,</w:t>
      </w:r>
      <w:r w:rsidRPr="004B00AC">
        <w:rPr>
          <w:rFonts w:ascii="Times New Roman" w:hAnsi="Times New Roman" w:cs="Times New Roman"/>
          <w:sz w:val="24"/>
          <w:szCs w:val="24"/>
        </w:rPr>
        <w:t xml:space="preserve"> Volume 1, No. 2.</w:t>
      </w:r>
    </w:p>
    <w:p w14:paraId="112867A5" w14:textId="77777777" w:rsid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 xml:space="preserve">Urbanus Ura Weruin, Dwi Andayani B, St. Atalim, 2016. "Legal Hermeneutics: Principles and Rules of Legal Interpretation," </w:t>
      </w:r>
      <w:r w:rsidRPr="004B00AC">
        <w:rPr>
          <w:rFonts w:ascii="Times New Roman" w:hAnsi="Times New Roman" w:cs="Times New Roman"/>
          <w:i/>
          <w:iCs/>
          <w:sz w:val="24"/>
          <w:szCs w:val="24"/>
        </w:rPr>
        <w:t>Jurnal Konstitusi,</w:t>
      </w:r>
      <w:r w:rsidRPr="004B00AC">
        <w:rPr>
          <w:rFonts w:ascii="Times New Roman" w:hAnsi="Times New Roman" w:cs="Times New Roman"/>
          <w:sz w:val="24"/>
          <w:szCs w:val="24"/>
        </w:rPr>
        <w:t xml:space="preserve"> Volume 13, No. 1, March.</w:t>
      </w:r>
    </w:p>
    <w:p w14:paraId="3682C89C"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561CE17C" w14:textId="77777777" w:rsidR="004B00AC" w:rsidRDefault="004B00AC" w:rsidP="004B00AC">
      <w:pPr>
        <w:pStyle w:val="ListParagraph"/>
        <w:spacing w:after="0" w:line="240" w:lineRule="auto"/>
        <w:ind w:left="851" w:hanging="851"/>
        <w:jc w:val="both"/>
        <w:rPr>
          <w:rFonts w:ascii="Times New Roman" w:hAnsi="Times New Roman" w:cs="Times New Roman"/>
          <w:b/>
          <w:bCs/>
          <w:sz w:val="24"/>
          <w:szCs w:val="24"/>
        </w:rPr>
      </w:pPr>
      <w:r w:rsidRPr="004B00AC">
        <w:rPr>
          <w:rFonts w:ascii="Times New Roman" w:hAnsi="Times New Roman" w:cs="Times New Roman"/>
          <w:b/>
          <w:bCs/>
          <w:sz w:val="24"/>
          <w:szCs w:val="24"/>
        </w:rPr>
        <w:t>Legislation</w:t>
      </w:r>
    </w:p>
    <w:p w14:paraId="68960045"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2D032E66" w14:textId="77777777" w:rsidR="004B00AC" w:rsidRDefault="004B00AC" w:rsidP="004B00AC">
      <w:pPr>
        <w:pStyle w:val="ListParagraph"/>
        <w:spacing w:after="0" w:line="240" w:lineRule="auto"/>
        <w:ind w:left="0"/>
        <w:jc w:val="both"/>
        <w:rPr>
          <w:rFonts w:ascii="Times New Roman" w:hAnsi="Times New Roman" w:cs="Times New Roman"/>
          <w:sz w:val="24"/>
          <w:szCs w:val="24"/>
        </w:rPr>
      </w:pPr>
      <w:r w:rsidRPr="004B00AC">
        <w:rPr>
          <w:rFonts w:ascii="Times New Roman" w:hAnsi="Times New Roman" w:cs="Times New Roman"/>
          <w:sz w:val="24"/>
          <w:szCs w:val="24"/>
        </w:rPr>
        <w:t>The 1945 Constitution of the Republic of Indonesia</w:t>
      </w:r>
    </w:p>
    <w:p w14:paraId="26C311E0" w14:textId="77777777" w:rsidR="004B00AC" w:rsidRPr="004B00AC" w:rsidRDefault="004B00AC" w:rsidP="004B00AC">
      <w:pPr>
        <w:pStyle w:val="ListParagraph"/>
        <w:spacing w:after="0" w:line="240" w:lineRule="auto"/>
        <w:ind w:left="0"/>
        <w:jc w:val="both"/>
        <w:rPr>
          <w:rFonts w:ascii="Times New Roman" w:hAnsi="Times New Roman" w:cs="Times New Roman"/>
          <w:sz w:val="24"/>
          <w:szCs w:val="24"/>
        </w:rPr>
      </w:pPr>
    </w:p>
    <w:p w14:paraId="6E17C0D7" w14:textId="77777777" w:rsidR="004B00AC" w:rsidRDefault="004B00AC" w:rsidP="004B00AC">
      <w:pPr>
        <w:pStyle w:val="ListParagraph"/>
        <w:spacing w:after="0" w:line="240" w:lineRule="auto"/>
        <w:ind w:left="851" w:hanging="851"/>
        <w:jc w:val="both"/>
        <w:rPr>
          <w:rFonts w:ascii="Times New Roman" w:hAnsi="Times New Roman" w:cs="Times New Roman"/>
          <w:sz w:val="24"/>
          <w:szCs w:val="24"/>
        </w:rPr>
      </w:pPr>
      <w:r w:rsidRPr="004B00AC">
        <w:rPr>
          <w:rFonts w:ascii="Times New Roman" w:hAnsi="Times New Roman" w:cs="Times New Roman"/>
          <w:sz w:val="24"/>
          <w:szCs w:val="24"/>
        </w:rPr>
        <w:t>Law No. 27 of 2007 on the People's Consultative Assembly, the House of Representatives, the Regional Representative Council, and the Regional House of Representatives.</w:t>
      </w:r>
    </w:p>
    <w:p w14:paraId="499FF78E" w14:textId="77777777" w:rsidR="004B00AC" w:rsidRPr="004B00AC" w:rsidRDefault="004B00AC" w:rsidP="004B00AC">
      <w:pPr>
        <w:pStyle w:val="ListParagraph"/>
        <w:spacing w:after="0" w:line="240" w:lineRule="auto"/>
        <w:ind w:left="851" w:hanging="851"/>
        <w:jc w:val="both"/>
        <w:rPr>
          <w:rFonts w:ascii="Times New Roman" w:hAnsi="Times New Roman" w:cs="Times New Roman"/>
          <w:sz w:val="24"/>
          <w:szCs w:val="24"/>
        </w:rPr>
      </w:pPr>
    </w:p>
    <w:p w14:paraId="204DE461" w14:textId="77777777" w:rsidR="004B00AC" w:rsidRPr="004B00AC" w:rsidRDefault="004B00AC" w:rsidP="004B00AC">
      <w:pPr>
        <w:pStyle w:val="ListParagraph"/>
        <w:spacing w:after="0" w:line="240" w:lineRule="auto"/>
        <w:ind w:left="0"/>
        <w:jc w:val="both"/>
        <w:rPr>
          <w:rFonts w:ascii="Times New Roman" w:hAnsi="Times New Roman" w:cs="Times New Roman"/>
          <w:sz w:val="24"/>
          <w:szCs w:val="24"/>
        </w:rPr>
      </w:pPr>
      <w:r w:rsidRPr="004B00AC">
        <w:rPr>
          <w:rFonts w:ascii="Times New Roman" w:hAnsi="Times New Roman" w:cs="Times New Roman"/>
          <w:sz w:val="24"/>
          <w:szCs w:val="24"/>
        </w:rPr>
        <w:t>Law No. 12 of 2011 on the Establishment of Legislation.</w:t>
      </w:r>
    </w:p>
    <w:p w14:paraId="21F84633" w14:textId="77777777" w:rsidR="004B00AC" w:rsidRPr="007969F9" w:rsidRDefault="004B00AC" w:rsidP="004B00AC">
      <w:pPr>
        <w:pStyle w:val="ListParagraph"/>
        <w:spacing w:after="0" w:line="360" w:lineRule="auto"/>
        <w:ind w:left="0"/>
        <w:jc w:val="both"/>
        <w:rPr>
          <w:rFonts w:ascii="Times New Roman" w:hAnsi="Times New Roman" w:cs="Times New Roman"/>
          <w:sz w:val="24"/>
          <w:szCs w:val="24"/>
        </w:rPr>
      </w:pPr>
    </w:p>
    <w:p w14:paraId="13229AC3" w14:textId="77777777" w:rsidR="00770E9E" w:rsidRPr="00770E9E" w:rsidRDefault="00770E9E" w:rsidP="00770E9E">
      <w:pPr>
        <w:pStyle w:val="ListParagraph"/>
        <w:spacing w:after="0" w:line="360" w:lineRule="auto"/>
        <w:ind w:left="0" w:firstLine="851"/>
        <w:jc w:val="both"/>
        <w:rPr>
          <w:rFonts w:ascii="Times New Roman" w:hAnsi="Times New Roman" w:cs="Times New Roman"/>
          <w:sz w:val="24"/>
          <w:szCs w:val="24"/>
        </w:rPr>
      </w:pPr>
    </w:p>
    <w:p w14:paraId="56BE6DF6" w14:textId="77777777" w:rsidR="007B0502" w:rsidRPr="007B0502" w:rsidRDefault="007B0502" w:rsidP="007B0502">
      <w:pPr>
        <w:pStyle w:val="ListParagraph"/>
        <w:spacing w:after="0" w:line="360" w:lineRule="auto"/>
        <w:ind w:left="0" w:firstLine="851"/>
        <w:jc w:val="both"/>
        <w:rPr>
          <w:rFonts w:ascii="Times New Roman" w:hAnsi="Times New Roman" w:cs="Times New Roman"/>
          <w:b/>
          <w:bCs/>
          <w:sz w:val="24"/>
          <w:szCs w:val="24"/>
        </w:rPr>
      </w:pPr>
    </w:p>
    <w:sectPr w:rsidR="007B0502" w:rsidRPr="007B05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6162D" w14:textId="77777777" w:rsidR="00330456" w:rsidRDefault="00330456" w:rsidP="00E07077">
      <w:pPr>
        <w:spacing w:after="0" w:line="240" w:lineRule="auto"/>
      </w:pPr>
      <w:r>
        <w:separator/>
      </w:r>
    </w:p>
  </w:endnote>
  <w:endnote w:type="continuationSeparator" w:id="0">
    <w:p w14:paraId="67DDAE93" w14:textId="77777777" w:rsidR="00330456" w:rsidRDefault="00330456" w:rsidP="00E0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119B4" w14:textId="77777777" w:rsidR="00330456" w:rsidRDefault="00330456" w:rsidP="00E07077">
      <w:pPr>
        <w:spacing w:after="0" w:line="240" w:lineRule="auto"/>
      </w:pPr>
      <w:r>
        <w:separator/>
      </w:r>
    </w:p>
  </w:footnote>
  <w:footnote w:type="continuationSeparator" w:id="0">
    <w:p w14:paraId="0AF58855" w14:textId="77777777" w:rsidR="00330456" w:rsidRDefault="00330456" w:rsidP="00E07077">
      <w:pPr>
        <w:spacing w:after="0" w:line="240" w:lineRule="auto"/>
      </w:pPr>
      <w:r>
        <w:continuationSeparator/>
      </w:r>
    </w:p>
  </w:footnote>
  <w:footnote w:id="1">
    <w:p w14:paraId="134B9C97" w14:textId="274071C9" w:rsidR="00E07077" w:rsidRPr="00E07077" w:rsidRDefault="00E07077" w:rsidP="00E07077">
      <w:pPr>
        <w:pStyle w:val="FootnoteText"/>
        <w:jc w:val="both"/>
        <w:rPr>
          <w:rFonts w:ascii="Times New Roman" w:hAnsi="Times New Roman" w:cs="Times New Roman"/>
          <w:lang w:val="en-US"/>
        </w:rPr>
      </w:pPr>
      <w:r w:rsidRPr="00E07077">
        <w:rPr>
          <w:rStyle w:val="FootnoteReference"/>
          <w:rFonts w:ascii="Times New Roman" w:hAnsi="Times New Roman" w:cs="Times New Roman"/>
        </w:rPr>
        <w:footnoteRef/>
      </w:r>
      <w:r w:rsidRPr="00E07077">
        <w:rPr>
          <w:rFonts w:ascii="Times New Roman" w:hAnsi="Times New Roman" w:cs="Times New Roman"/>
        </w:rPr>
        <w:t xml:space="preserve"> I Dewa Gede Palguna in Novianto M. Hantoro, </w:t>
      </w:r>
      <w:r w:rsidRPr="00E07077">
        <w:rPr>
          <w:rFonts w:ascii="Times New Roman" w:hAnsi="Times New Roman" w:cs="Times New Roman"/>
          <w:i/>
          <w:iCs/>
        </w:rPr>
        <w:t>The Authority of the Regional Representative Council in Lawmaking After the Constitutional Court's Decision Number 92/PUU-X/2012</w:t>
      </w:r>
      <w:r w:rsidRPr="00E07077">
        <w:rPr>
          <w:rFonts w:ascii="Times New Roman" w:hAnsi="Times New Roman" w:cs="Times New Roman"/>
        </w:rPr>
        <w:t>, Jurnal Negara Hukum, Vol. 4, No. 2, November 2013, p. 197."</w:t>
      </w:r>
    </w:p>
  </w:footnote>
  <w:footnote w:id="2">
    <w:p w14:paraId="1529E085" w14:textId="6B43ED58" w:rsidR="00E07077" w:rsidRPr="00E07077" w:rsidRDefault="00E07077" w:rsidP="00E07077">
      <w:pPr>
        <w:pStyle w:val="FootnoteText"/>
        <w:jc w:val="both"/>
        <w:rPr>
          <w:rFonts w:ascii="Times New Roman" w:hAnsi="Times New Roman" w:cs="Times New Roman"/>
          <w:lang w:val="en-US"/>
        </w:rPr>
      </w:pPr>
      <w:r w:rsidRPr="00E07077">
        <w:rPr>
          <w:rStyle w:val="FootnoteReference"/>
          <w:rFonts w:ascii="Times New Roman" w:hAnsi="Times New Roman" w:cs="Times New Roman"/>
        </w:rPr>
        <w:footnoteRef/>
      </w:r>
      <w:r w:rsidRPr="00E07077">
        <w:rPr>
          <w:rFonts w:ascii="Times New Roman" w:hAnsi="Times New Roman" w:cs="Times New Roman"/>
        </w:rPr>
        <w:t xml:space="preserve"> Farahdiba Rahma Bachtiar, </w:t>
      </w:r>
      <w:r w:rsidRPr="00E07077">
        <w:rPr>
          <w:rFonts w:ascii="Times New Roman" w:hAnsi="Times New Roman" w:cs="Times New Roman"/>
          <w:i/>
          <w:iCs/>
        </w:rPr>
        <w:t>Indonesia's Elections: The Beacon of Democracy from Various Representations</w:t>
      </w:r>
      <w:r w:rsidRPr="00E07077">
        <w:rPr>
          <w:rFonts w:ascii="Times New Roman" w:hAnsi="Times New Roman" w:cs="Times New Roman"/>
        </w:rPr>
        <w:t>, Jurnal Politik Profetik, Volume 3, Number 1, 2014, p. 2</w:t>
      </w:r>
    </w:p>
  </w:footnote>
  <w:footnote w:id="3">
    <w:p w14:paraId="06185A2F" w14:textId="4513A6D2" w:rsidR="00E07077" w:rsidRPr="00E07077" w:rsidRDefault="00E07077" w:rsidP="00E07077">
      <w:pPr>
        <w:pStyle w:val="FootnoteText"/>
        <w:jc w:val="both"/>
        <w:rPr>
          <w:rFonts w:ascii="Times New Roman" w:hAnsi="Times New Roman" w:cs="Times New Roman"/>
          <w:lang w:val="en-US"/>
        </w:rPr>
      </w:pPr>
      <w:r w:rsidRPr="00E07077">
        <w:rPr>
          <w:rStyle w:val="FootnoteReference"/>
          <w:rFonts w:ascii="Times New Roman" w:hAnsi="Times New Roman" w:cs="Times New Roman"/>
        </w:rPr>
        <w:footnoteRef/>
      </w:r>
      <w:r w:rsidRPr="00E07077">
        <w:rPr>
          <w:rFonts w:ascii="Times New Roman" w:hAnsi="Times New Roman" w:cs="Times New Roman"/>
        </w:rPr>
        <w:t xml:space="preserve"> Teguh Yuwono, </w:t>
      </w:r>
      <w:r w:rsidRPr="00E07077">
        <w:rPr>
          <w:rFonts w:ascii="Times New Roman" w:hAnsi="Times New Roman" w:cs="Times New Roman"/>
          <w:i/>
          <w:iCs/>
        </w:rPr>
        <w:t>Decentralization and Regional Autonomy: Challenges of Regional Development in the Era of Democracy</w:t>
      </w:r>
      <w:r w:rsidRPr="00E07077">
        <w:rPr>
          <w:rFonts w:ascii="Times New Roman" w:hAnsi="Times New Roman" w:cs="Times New Roman"/>
        </w:rPr>
        <w:t>, Gadjah Mada University Press, Yogyakarta, 2022, pp. 56-62</w:t>
      </w:r>
    </w:p>
  </w:footnote>
  <w:footnote w:id="4">
    <w:p w14:paraId="3B1A83F5" w14:textId="3ED0A0B5" w:rsidR="00E07077" w:rsidRPr="00E07077" w:rsidRDefault="00E07077" w:rsidP="00E07077">
      <w:pPr>
        <w:pStyle w:val="FootnoteText"/>
        <w:jc w:val="both"/>
        <w:rPr>
          <w:rFonts w:ascii="Times New Roman" w:hAnsi="Times New Roman" w:cs="Times New Roman"/>
          <w:lang w:val="en-US"/>
        </w:rPr>
      </w:pPr>
      <w:r w:rsidRPr="00E07077">
        <w:rPr>
          <w:rStyle w:val="FootnoteReference"/>
          <w:rFonts w:ascii="Times New Roman" w:hAnsi="Times New Roman" w:cs="Times New Roman"/>
        </w:rPr>
        <w:footnoteRef/>
      </w:r>
      <w:r w:rsidRPr="00E07077">
        <w:rPr>
          <w:rFonts w:ascii="Times New Roman" w:hAnsi="Times New Roman" w:cs="Times New Roman"/>
        </w:rPr>
        <w:t xml:space="preserve"> Fahrul Reza, </w:t>
      </w:r>
      <w:r w:rsidRPr="00E07077">
        <w:rPr>
          <w:rFonts w:ascii="Times New Roman" w:hAnsi="Times New Roman" w:cs="Times New Roman"/>
          <w:i/>
          <w:iCs/>
        </w:rPr>
        <w:t>The DPD as a Lawmaker and Its Role in Legislative Functions Post-Constitutional Court Decision</w:t>
      </w:r>
      <w:r w:rsidRPr="00E07077">
        <w:rPr>
          <w:rFonts w:ascii="Times New Roman" w:hAnsi="Times New Roman" w:cs="Times New Roman"/>
        </w:rPr>
        <w:t>, Jurnal Media Syari’ah, Vol. 21, No. 1, 2019, pp. 42-43</w:t>
      </w:r>
    </w:p>
  </w:footnote>
  <w:footnote w:id="5">
    <w:p w14:paraId="3880F96D" w14:textId="088BED95" w:rsidR="003E5D75" w:rsidRPr="003E5D75" w:rsidRDefault="003E5D75" w:rsidP="003E5D75">
      <w:pPr>
        <w:pStyle w:val="FootnoteText"/>
        <w:jc w:val="both"/>
        <w:rPr>
          <w:rFonts w:ascii="Times New Roman" w:hAnsi="Times New Roman" w:cs="Times New Roman"/>
          <w:lang w:val="en-US"/>
        </w:rPr>
      </w:pPr>
      <w:r w:rsidRPr="003E5D75">
        <w:rPr>
          <w:rStyle w:val="FootnoteReference"/>
          <w:rFonts w:ascii="Times New Roman" w:hAnsi="Times New Roman" w:cs="Times New Roman"/>
        </w:rPr>
        <w:footnoteRef/>
      </w:r>
      <w:r w:rsidRPr="003E5D75">
        <w:rPr>
          <w:rFonts w:ascii="Times New Roman" w:hAnsi="Times New Roman" w:cs="Times New Roman"/>
        </w:rPr>
        <w:t xml:space="preserve"> Hanna Fenichel Pettkin, 1980, </w:t>
      </w:r>
      <w:r w:rsidRPr="003E5D75">
        <w:rPr>
          <w:rFonts w:ascii="Times New Roman" w:hAnsi="Times New Roman" w:cs="Times New Roman"/>
          <w:i/>
          <w:iCs/>
        </w:rPr>
        <w:t>The Concept of Representation</w:t>
      </w:r>
      <w:r w:rsidRPr="003E5D75">
        <w:rPr>
          <w:rFonts w:ascii="Times New Roman" w:hAnsi="Times New Roman" w:cs="Times New Roman"/>
        </w:rPr>
        <w:t>,University of California Press,California, hlm. 40</w:t>
      </w:r>
    </w:p>
  </w:footnote>
  <w:footnote w:id="6">
    <w:p w14:paraId="216B3572" w14:textId="40AEF854" w:rsidR="003E5D75" w:rsidRPr="003E5D75" w:rsidRDefault="003E5D75">
      <w:pPr>
        <w:pStyle w:val="FootnoteText"/>
        <w:rPr>
          <w:lang w:val="en-US"/>
        </w:rPr>
      </w:pPr>
      <w:r>
        <w:rPr>
          <w:rStyle w:val="FootnoteReference"/>
        </w:rPr>
        <w:footnoteRef/>
      </w:r>
      <w:r>
        <w:t xml:space="preserve"> </w:t>
      </w:r>
      <w:r w:rsidRPr="003E5D75">
        <w:rPr>
          <w:rFonts w:ascii="Times New Roman" w:eastAsia="Calibri" w:hAnsi="Times New Roman" w:cs="Times New Roman"/>
          <w:kern w:val="0"/>
          <w:lang w:val="id-ID"/>
          <w14:ligatures w14:val="none"/>
        </w:rPr>
        <w:t>Ibid., hlm. 41.</w:t>
      </w:r>
    </w:p>
  </w:footnote>
  <w:footnote w:id="7">
    <w:p w14:paraId="27D26633" w14:textId="3FD2639D" w:rsidR="00B72D82" w:rsidRPr="00B72D82" w:rsidRDefault="00B72D82" w:rsidP="00B72D82">
      <w:pPr>
        <w:pStyle w:val="FootnoteText"/>
        <w:jc w:val="both"/>
        <w:rPr>
          <w:rFonts w:ascii="Times New Roman" w:hAnsi="Times New Roman" w:cs="Times New Roman"/>
          <w:lang w:val="en-US"/>
        </w:rPr>
      </w:pPr>
      <w:r w:rsidRPr="00B72D82">
        <w:rPr>
          <w:rStyle w:val="FootnoteReference"/>
          <w:rFonts w:ascii="Times New Roman" w:hAnsi="Times New Roman" w:cs="Times New Roman"/>
        </w:rPr>
        <w:footnoteRef/>
      </w:r>
      <w:r w:rsidRPr="00B72D82">
        <w:rPr>
          <w:rFonts w:ascii="Times New Roman" w:hAnsi="Times New Roman" w:cs="Times New Roman"/>
        </w:rPr>
        <w:t xml:space="preserve"> Tifani Rizki Dianisa and Gayatri Dyah Suprobowati, </w:t>
      </w:r>
      <w:r w:rsidRPr="00B72D82">
        <w:rPr>
          <w:rFonts w:ascii="Times New Roman" w:hAnsi="Times New Roman" w:cs="Times New Roman"/>
          <w:i/>
          <w:iCs/>
        </w:rPr>
        <w:t>The Application of Legislative Theory in the Formation of Legislation</w:t>
      </w:r>
      <w:r w:rsidRPr="00B72D82">
        <w:rPr>
          <w:rFonts w:ascii="Times New Roman" w:hAnsi="Times New Roman" w:cs="Times New Roman"/>
        </w:rPr>
        <w:t>, Journal of Democracy and National Resilience, Volume 1, Number 2, Year 2022, pages 301-303.</w:t>
      </w:r>
    </w:p>
  </w:footnote>
  <w:footnote w:id="8">
    <w:p w14:paraId="72F645A3" w14:textId="46E26B8C" w:rsidR="009C57AC" w:rsidRPr="009C57AC" w:rsidRDefault="009C57AC" w:rsidP="009C57AC">
      <w:pPr>
        <w:pStyle w:val="FootnoteText"/>
        <w:jc w:val="both"/>
        <w:rPr>
          <w:rFonts w:ascii="Times New Roman" w:hAnsi="Times New Roman" w:cs="Times New Roman"/>
          <w:lang w:val="en-US"/>
        </w:rPr>
      </w:pPr>
      <w:r w:rsidRPr="009C57AC">
        <w:rPr>
          <w:rStyle w:val="FootnoteReference"/>
          <w:rFonts w:ascii="Times New Roman" w:hAnsi="Times New Roman" w:cs="Times New Roman"/>
        </w:rPr>
        <w:footnoteRef/>
      </w:r>
      <w:r w:rsidRPr="009C57AC">
        <w:rPr>
          <w:rFonts w:ascii="Times New Roman" w:hAnsi="Times New Roman" w:cs="Times New Roman"/>
        </w:rPr>
        <w:t xml:space="preserve"> Mira Fajriyah, </w:t>
      </w:r>
      <w:r w:rsidRPr="009C57AC">
        <w:rPr>
          <w:rFonts w:ascii="Times New Roman" w:hAnsi="Times New Roman" w:cs="Times New Roman"/>
          <w:i/>
          <w:iCs/>
        </w:rPr>
        <w:t>Juridical Reflection on the Establishment of the National Legislation Program in the Indonesian House of Representatives,</w:t>
      </w:r>
      <w:r w:rsidRPr="009C57AC">
        <w:rPr>
          <w:rFonts w:ascii="Times New Roman" w:hAnsi="Times New Roman" w:cs="Times New Roman"/>
        </w:rPr>
        <w:t xml:space="preserve"> Journal of Constitution, Volume 13, Number 1, March 2016, page 53</w:t>
      </w:r>
    </w:p>
  </w:footnote>
  <w:footnote w:id="9">
    <w:p w14:paraId="262BA1BE" w14:textId="18364492" w:rsidR="00160FAA" w:rsidRPr="00160FAA" w:rsidRDefault="00160FAA" w:rsidP="00160FAA">
      <w:pPr>
        <w:pStyle w:val="FootnoteText"/>
        <w:jc w:val="both"/>
        <w:rPr>
          <w:rFonts w:ascii="Times New Roman" w:hAnsi="Times New Roman" w:cs="Times New Roman"/>
          <w:lang w:val="en-US"/>
        </w:rPr>
      </w:pPr>
      <w:r w:rsidRPr="00160FAA">
        <w:rPr>
          <w:rStyle w:val="FootnoteReference"/>
          <w:rFonts w:ascii="Times New Roman" w:hAnsi="Times New Roman" w:cs="Times New Roman"/>
        </w:rPr>
        <w:footnoteRef/>
      </w:r>
      <w:r w:rsidRPr="00160FAA">
        <w:rPr>
          <w:rFonts w:ascii="Times New Roman" w:hAnsi="Times New Roman" w:cs="Times New Roman"/>
        </w:rPr>
        <w:t xml:space="preserve"> </w:t>
      </w:r>
      <w:r w:rsidRPr="00160FAA">
        <w:rPr>
          <w:rFonts w:ascii="Times New Roman" w:eastAsia="Calibri" w:hAnsi="Times New Roman" w:cs="Times New Roman"/>
          <w:kern w:val="0"/>
          <w:sz w:val="22"/>
          <w:szCs w:val="22"/>
          <w:lang w:val="id-ID"/>
          <w14:ligatures w14:val="none"/>
        </w:rPr>
        <w:t xml:space="preserve">John Kingdon, </w:t>
      </w:r>
      <w:r w:rsidRPr="00160FAA">
        <w:rPr>
          <w:rFonts w:ascii="Times New Roman" w:eastAsia="Calibri" w:hAnsi="Times New Roman" w:cs="Times New Roman"/>
          <w:bCs/>
          <w:i/>
          <w:kern w:val="0"/>
          <w:sz w:val="22"/>
          <w:szCs w:val="22"/>
          <w:lang w:val="id-ID"/>
          <w14:ligatures w14:val="none"/>
        </w:rPr>
        <w:t>Agendas, Alternatiives, and Public Policies</w:t>
      </w:r>
      <w:r w:rsidRPr="00160FAA">
        <w:rPr>
          <w:rFonts w:ascii="Times New Roman" w:eastAsia="Calibri" w:hAnsi="Times New Roman" w:cs="Times New Roman"/>
          <w:kern w:val="0"/>
          <w:sz w:val="22"/>
          <w:szCs w:val="22"/>
          <w:lang w:val="id-ID"/>
          <w14:ligatures w14:val="none"/>
        </w:rPr>
        <w:t>, HarperCollins Publishers, New Yorks, 1995</w:t>
      </w:r>
    </w:p>
  </w:footnote>
  <w:footnote w:id="10">
    <w:p w14:paraId="5378A511" w14:textId="089F091F" w:rsidR="0014428E" w:rsidRPr="0014428E" w:rsidRDefault="0014428E" w:rsidP="0014428E">
      <w:pPr>
        <w:pStyle w:val="FootnoteText"/>
        <w:jc w:val="both"/>
        <w:rPr>
          <w:rFonts w:ascii="Bookman Old Style" w:hAnsi="Bookman Old Style"/>
          <w:lang w:val="en-US"/>
        </w:rPr>
      </w:pPr>
      <w:r w:rsidRPr="0014428E">
        <w:rPr>
          <w:rStyle w:val="FootnoteReference"/>
          <w:rFonts w:ascii="Bookman Old Style" w:hAnsi="Bookman Old Style"/>
        </w:rPr>
        <w:footnoteRef/>
      </w:r>
      <w:r w:rsidRPr="0014428E">
        <w:rPr>
          <w:rFonts w:ascii="Bookman Old Style" w:hAnsi="Bookman Old Style"/>
        </w:rPr>
        <w:t xml:space="preserve"> </w:t>
      </w:r>
      <w:r w:rsidRPr="007054A7">
        <w:rPr>
          <w:rFonts w:ascii="Times New Roman" w:hAnsi="Times New Roman" w:cs="Times New Roman"/>
        </w:rPr>
        <w:t xml:space="preserve">Albert H. Y. Chen, </w:t>
      </w:r>
      <w:r w:rsidRPr="007054A7">
        <w:rPr>
          <w:rFonts w:ascii="Times New Roman" w:hAnsi="Times New Roman" w:cs="Times New Roman"/>
          <w:i/>
          <w:iCs/>
        </w:rPr>
        <w:t>The Interpretation of the Basic Law—Common Law and Mainland Chinese Perspectives</w:t>
      </w:r>
      <w:r w:rsidRPr="007054A7">
        <w:rPr>
          <w:rFonts w:ascii="Times New Roman" w:hAnsi="Times New Roman" w:cs="Times New Roman"/>
        </w:rPr>
        <w:t xml:space="preserve">, (Hong Kong: Hong Kong Journal Ltd., 2000), p. 1. The term </w:t>
      </w:r>
      <w:r w:rsidRPr="007054A7">
        <w:rPr>
          <w:rFonts w:ascii="Times New Roman" w:hAnsi="Times New Roman" w:cs="Times New Roman"/>
          <w:i/>
          <w:iCs/>
        </w:rPr>
        <w:t>Constitutional Interpretation</w:t>
      </w:r>
      <w:r w:rsidRPr="007054A7">
        <w:rPr>
          <w:rFonts w:ascii="Times New Roman" w:hAnsi="Times New Roman" w:cs="Times New Roman"/>
        </w:rPr>
        <w:t xml:space="preserve"> can also be found in the work of Hristo D. Dimitrov, in </w:t>
      </w:r>
      <w:r w:rsidRPr="007054A7">
        <w:rPr>
          <w:rFonts w:ascii="Times New Roman" w:hAnsi="Times New Roman" w:cs="Times New Roman"/>
          <w:i/>
          <w:iCs/>
        </w:rPr>
        <w:t>The Bulgarian Constitutional Court and Its Interpretive Jurisdiction</w:t>
      </w:r>
      <w:r w:rsidRPr="007054A7">
        <w:rPr>
          <w:rFonts w:ascii="Times New Roman" w:hAnsi="Times New Roman" w:cs="Times New Roman"/>
        </w:rPr>
        <w:t>. See: "Interpretive Jurisdiction: The Constitutional Court's Interpretive Jurisdiction: The Advantages of an Authoritative, Non-Adversarial and Prospective Process of Constitutional Interpretation" (Columbia: Columbia Journal of Transnational Law Association, Inc., 1999), p. 7</w:t>
      </w:r>
    </w:p>
  </w:footnote>
  <w:footnote w:id="11">
    <w:p w14:paraId="1487A938" w14:textId="53CD1480" w:rsidR="007054A7" w:rsidRPr="007054A7" w:rsidRDefault="007054A7" w:rsidP="007054A7">
      <w:pPr>
        <w:pStyle w:val="FootnoteText"/>
        <w:jc w:val="both"/>
        <w:rPr>
          <w:rFonts w:ascii="Times New Roman" w:hAnsi="Times New Roman" w:cs="Times New Roman"/>
          <w:lang w:val="en-US"/>
        </w:rPr>
      </w:pPr>
      <w:r w:rsidRPr="007054A7">
        <w:rPr>
          <w:rStyle w:val="FootnoteReference"/>
          <w:rFonts w:ascii="Times New Roman" w:hAnsi="Times New Roman" w:cs="Times New Roman"/>
        </w:rPr>
        <w:footnoteRef/>
      </w:r>
      <w:r w:rsidRPr="007054A7">
        <w:rPr>
          <w:rFonts w:ascii="Times New Roman" w:hAnsi="Times New Roman" w:cs="Times New Roman"/>
        </w:rPr>
        <w:t xml:space="preserve"> In English legal literature, the term </w:t>
      </w:r>
      <w:r w:rsidRPr="007054A7">
        <w:rPr>
          <w:rFonts w:ascii="Times New Roman" w:hAnsi="Times New Roman" w:cs="Times New Roman"/>
          <w:i/>
          <w:iCs/>
        </w:rPr>
        <w:t>constitutional interpretation</w:t>
      </w:r>
      <w:r w:rsidRPr="007054A7">
        <w:rPr>
          <w:rFonts w:ascii="Times New Roman" w:hAnsi="Times New Roman" w:cs="Times New Roman"/>
        </w:rPr>
        <w:t xml:space="preserve"> is widely used by constitutional law scholars to refer to the methods of interpreting a constitution. This can be observed in works such as Craig R. Ducat, </w:t>
      </w:r>
      <w:r w:rsidRPr="007054A7">
        <w:rPr>
          <w:rFonts w:ascii="Times New Roman" w:hAnsi="Times New Roman" w:cs="Times New Roman"/>
          <w:i/>
          <w:iCs/>
        </w:rPr>
        <w:t>Constitutional Interpretation</w:t>
      </w:r>
      <w:r w:rsidRPr="007054A7">
        <w:rPr>
          <w:rFonts w:ascii="Times New Roman" w:hAnsi="Times New Roman" w:cs="Times New Roman"/>
        </w:rPr>
        <w:t xml:space="preserve"> (California: Wordsworth Classic, 2004); Charles Sampford (Ed.), </w:t>
      </w:r>
      <w:r w:rsidRPr="007054A7">
        <w:rPr>
          <w:rFonts w:ascii="Times New Roman" w:hAnsi="Times New Roman" w:cs="Times New Roman"/>
          <w:i/>
          <w:iCs/>
        </w:rPr>
        <w:t>Interpreting Constitutions: Theories, Principles and Institutions</w:t>
      </w:r>
      <w:r w:rsidRPr="007054A7">
        <w:rPr>
          <w:rFonts w:ascii="Times New Roman" w:hAnsi="Times New Roman" w:cs="Times New Roman"/>
        </w:rPr>
        <w:t xml:space="preserve"> (Sydney: The Federation Press, 1996); Jack N. Rakove (Ed.), </w:t>
      </w:r>
      <w:r w:rsidRPr="007054A7">
        <w:rPr>
          <w:rFonts w:ascii="Times New Roman" w:hAnsi="Times New Roman" w:cs="Times New Roman"/>
          <w:i/>
          <w:iCs/>
        </w:rPr>
        <w:t>Interpreting the Constitution: The Debate Over Original Intent</w:t>
      </w:r>
      <w:r w:rsidRPr="007054A7">
        <w:rPr>
          <w:rFonts w:ascii="Times New Roman" w:hAnsi="Times New Roman" w:cs="Times New Roman"/>
        </w:rPr>
        <w:t xml:space="preserve"> (Michigan: Northeastern University Press, 1990); Jeffrey Goldsworthy (Ed.), </w:t>
      </w:r>
      <w:r w:rsidRPr="007054A7">
        <w:rPr>
          <w:rFonts w:ascii="Times New Roman" w:hAnsi="Times New Roman" w:cs="Times New Roman"/>
          <w:i/>
          <w:iCs/>
        </w:rPr>
        <w:t>Interpreting Constitutions: A Comparative Study</w:t>
      </w:r>
      <w:r w:rsidRPr="007054A7">
        <w:rPr>
          <w:rFonts w:ascii="Times New Roman" w:hAnsi="Times New Roman" w:cs="Times New Roman"/>
        </w:rPr>
        <w:t xml:space="preserve"> (New York: Oxford University Press, 2006); Keith E. Whittington, </w:t>
      </w:r>
      <w:r w:rsidRPr="007054A7">
        <w:rPr>
          <w:rFonts w:ascii="Times New Roman" w:hAnsi="Times New Roman" w:cs="Times New Roman"/>
          <w:i/>
          <w:iCs/>
        </w:rPr>
        <w:t>Constitutional Interpretation: Textual Meaning, Original Intent, and Judicial Review</w:t>
      </w:r>
      <w:r w:rsidRPr="007054A7">
        <w:rPr>
          <w:rFonts w:ascii="Times New Roman" w:hAnsi="Times New Roman" w:cs="Times New Roman"/>
        </w:rPr>
        <w:t xml:space="preserve"> (Kansas: University Press of Kansas, 1999), and others</w:t>
      </w:r>
    </w:p>
  </w:footnote>
  <w:footnote w:id="12">
    <w:p w14:paraId="5716F4D0" w14:textId="1C6937E0" w:rsidR="00F80A35" w:rsidRPr="007B60EC" w:rsidRDefault="00F80A35" w:rsidP="00F80A35">
      <w:pPr>
        <w:pStyle w:val="FootnoteText"/>
        <w:rPr>
          <w:rFonts w:ascii="Times New Roman" w:hAnsi="Times New Roman"/>
          <w:lang w:val="en-US"/>
        </w:rPr>
      </w:pPr>
      <w:r w:rsidRPr="007B60EC">
        <w:rPr>
          <w:rFonts w:ascii="Times New Roman" w:eastAsia="MS Mincho" w:hAnsi="Times New Roman"/>
          <w:vertAlign w:val="superscript"/>
          <w:lang w:val="fi-FI"/>
        </w:rPr>
        <w:footnoteRef/>
      </w:r>
      <w:r w:rsidRPr="007B60EC">
        <w:rPr>
          <w:rFonts w:ascii="Times New Roman" w:hAnsi="Times New Roman"/>
        </w:rPr>
        <w:t xml:space="preserve"> </w:t>
      </w:r>
      <w:r>
        <w:rPr>
          <w:rFonts w:ascii="Times New Roman" w:eastAsia="MS Mincho" w:hAnsi="Times New Roman"/>
          <w:lang w:val="en-US"/>
        </w:rPr>
        <w:t>Op.cit</w:t>
      </w:r>
      <w:r w:rsidRPr="007B60EC">
        <w:rPr>
          <w:rFonts w:ascii="Times New Roman" w:eastAsia="MS Mincho" w:hAnsi="Times New Roman"/>
          <w:lang w:val="en-US"/>
        </w:rPr>
        <w:t>,</w:t>
      </w:r>
      <w:r>
        <w:rPr>
          <w:rFonts w:ascii="Times New Roman" w:eastAsia="MS Mincho" w:hAnsi="Times New Roman"/>
          <w:lang w:val="en-US"/>
        </w:rPr>
        <w:t xml:space="preserve"> P</w:t>
      </w:r>
      <w:r w:rsidRPr="007B60EC">
        <w:rPr>
          <w:rFonts w:ascii="Times New Roman" w:eastAsia="MS Mincho" w:hAnsi="Times New Roman"/>
          <w:lang w:val="en-US"/>
        </w:rPr>
        <w:t>. 2</w:t>
      </w:r>
      <w:r w:rsidRPr="007B60EC">
        <w:rPr>
          <w:rFonts w:ascii="Times New Roman" w:hAnsi="Times New Roman"/>
        </w:rPr>
        <w:t>.</w:t>
      </w:r>
    </w:p>
  </w:footnote>
  <w:footnote w:id="13">
    <w:p w14:paraId="3351A510" w14:textId="42C36A3D" w:rsidR="008922A7" w:rsidRPr="008922A7" w:rsidRDefault="008922A7" w:rsidP="008922A7">
      <w:pPr>
        <w:pStyle w:val="FootnoteText"/>
        <w:jc w:val="both"/>
        <w:rPr>
          <w:rFonts w:ascii="Times New Roman" w:hAnsi="Times New Roman" w:cs="Times New Roman"/>
          <w:lang w:val="en-US"/>
        </w:rPr>
      </w:pPr>
      <w:r w:rsidRPr="008922A7">
        <w:rPr>
          <w:rStyle w:val="FootnoteReference"/>
          <w:rFonts w:ascii="Times New Roman" w:hAnsi="Times New Roman" w:cs="Times New Roman"/>
        </w:rPr>
        <w:footnoteRef/>
      </w:r>
      <w:r w:rsidRPr="008922A7">
        <w:rPr>
          <w:rFonts w:ascii="Times New Roman" w:hAnsi="Times New Roman" w:cs="Times New Roman"/>
        </w:rPr>
        <w:t xml:space="preserve"> Syawaluddin Hanafi, </w:t>
      </w:r>
      <w:r w:rsidRPr="008922A7">
        <w:rPr>
          <w:rFonts w:ascii="Times New Roman" w:hAnsi="Times New Roman" w:cs="Times New Roman"/>
          <w:i/>
          <w:iCs/>
        </w:rPr>
        <w:t>The Authority of the Constitutional Court in Interpreting the 1945 Constitution of the Republic of Indonesia</w:t>
      </w:r>
      <w:r w:rsidRPr="008922A7">
        <w:rPr>
          <w:rFonts w:ascii="Times New Roman" w:hAnsi="Times New Roman" w:cs="Times New Roman"/>
        </w:rPr>
        <w:t xml:space="preserve">, </w:t>
      </w:r>
      <w:r w:rsidRPr="008922A7">
        <w:rPr>
          <w:rFonts w:ascii="Times New Roman" w:hAnsi="Times New Roman" w:cs="Times New Roman"/>
          <w:i/>
          <w:iCs/>
        </w:rPr>
        <w:t>Jurnal Ekspose</w:t>
      </w:r>
      <w:r w:rsidRPr="008922A7">
        <w:rPr>
          <w:rFonts w:ascii="Times New Roman" w:hAnsi="Times New Roman" w:cs="Times New Roman"/>
        </w:rPr>
        <w:t>, Volume 16, Number 1, January-June 2017, p. 353</w:t>
      </w:r>
    </w:p>
  </w:footnote>
  <w:footnote w:id="14">
    <w:p w14:paraId="698A91AD" w14:textId="78FD2FA1" w:rsidR="00F80A35" w:rsidRPr="008922A7" w:rsidRDefault="00F80A35" w:rsidP="008922A7">
      <w:pPr>
        <w:pStyle w:val="FootnoteText"/>
        <w:jc w:val="both"/>
        <w:rPr>
          <w:rFonts w:ascii="Times New Roman" w:hAnsi="Times New Roman" w:cs="Times New Roman"/>
          <w:lang w:val="en-US"/>
        </w:rPr>
      </w:pPr>
      <w:r w:rsidRPr="008922A7">
        <w:rPr>
          <w:rStyle w:val="FootnoteReference"/>
          <w:rFonts w:ascii="Times New Roman" w:hAnsi="Times New Roman" w:cs="Times New Roman"/>
        </w:rPr>
        <w:footnoteRef/>
      </w:r>
      <w:r w:rsidRPr="008922A7">
        <w:rPr>
          <w:rFonts w:ascii="Times New Roman" w:hAnsi="Times New Roman" w:cs="Times New Roman"/>
        </w:rPr>
        <w:t xml:space="preserve"> </w:t>
      </w:r>
      <w:r w:rsidR="008922A7" w:rsidRPr="008922A7">
        <w:rPr>
          <w:rFonts w:ascii="Times New Roman" w:hAnsi="Times New Roman" w:cs="Times New Roman"/>
        </w:rPr>
        <w:t xml:space="preserve">Satjipto Rahardjo, </w:t>
      </w:r>
      <w:r w:rsidR="008922A7" w:rsidRPr="008922A7">
        <w:rPr>
          <w:rFonts w:ascii="Times New Roman" w:hAnsi="Times New Roman" w:cs="Times New Roman"/>
          <w:i/>
          <w:iCs/>
        </w:rPr>
        <w:t>Ilmu Hukum</w:t>
      </w:r>
      <w:r w:rsidR="008922A7" w:rsidRPr="008922A7">
        <w:rPr>
          <w:rFonts w:ascii="Times New Roman" w:hAnsi="Times New Roman" w:cs="Times New Roman"/>
        </w:rPr>
        <w:t>, (Bandung: PT Citra Aditya Bakti, 2006), pp. 94-95</w:t>
      </w:r>
    </w:p>
  </w:footnote>
  <w:footnote w:id="15">
    <w:p w14:paraId="20EE08F1" w14:textId="6105F690" w:rsidR="00CF5DB0" w:rsidRPr="00CF5DB0" w:rsidRDefault="00CF5DB0" w:rsidP="00CF5DB0">
      <w:pPr>
        <w:pStyle w:val="FootnoteText"/>
        <w:jc w:val="both"/>
        <w:rPr>
          <w:rFonts w:ascii="Times New Roman" w:hAnsi="Times New Roman" w:cs="Times New Roman"/>
          <w:lang w:val="en-US"/>
        </w:rPr>
      </w:pPr>
      <w:r w:rsidRPr="00CF5DB0">
        <w:rPr>
          <w:rStyle w:val="FootnoteReference"/>
          <w:rFonts w:ascii="Times New Roman" w:hAnsi="Times New Roman" w:cs="Times New Roman"/>
        </w:rPr>
        <w:footnoteRef/>
      </w:r>
      <w:r w:rsidRPr="00CF5DB0">
        <w:rPr>
          <w:rFonts w:ascii="Times New Roman" w:hAnsi="Times New Roman" w:cs="Times New Roman"/>
        </w:rPr>
        <w:t xml:space="preserve"> </w:t>
      </w:r>
      <w:r w:rsidRPr="00CF5DB0">
        <w:rPr>
          <w:rFonts w:ascii="Times New Roman" w:hAnsi="Times New Roman" w:cs="Times New Roman"/>
          <w:lang w:val="id-ID"/>
        </w:rPr>
        <w:t>Ibid. Hlm. 93-94</w:t>
      </w:r>
    </w:p>
  </w:footnote>
  <w:footnote w:id="16">
    <w:p w14:paraId="0347E819" w14:textId="3A561058" w:rsidR="00CF5DB0" w:rsidRPr="00CF5DB0" w:rsidRDefault="00CF5DB0" w:rsidP="00CF5DB0">
      <w:pPr>
        <w:pStyle w:val="FootnoteText"/>
        <w:jc w:val="both"/>
        <w:rPr>
          <w:rFonts w:ascii="Times New Roman" w:hAnsi="Times New Roman" w:cs="Times New Roman"/>
          <w:lang w:val="en-US"/>
        </w:rPr>
      </w:pPr>
      <w:r w:rsidRPr="00CF5DB0">
        <w:rPr>
          <w:rStyle w:val="FootnoteReference"/>
          <w:rFonts w:ascii="Times New Roman" w:hAnsi="Times New Roman" w:cs="Times New Roman"/>
        </w:rPr>
        <w:footnoteRef/>
      </w:r>
      <w:r w:rsidRPr="00CF5DB0">
        <w:rPr>
          <w:rFonts w:ascii="Times New Roman" w:hAnsi="Times New Roman" w:cs="Times New Roman"/>
        </w:rPr>
        <w:t xml:space="preserve"> Sudikno Mertokusumo and A. Pitlo, </w:t>
      </w:r>
      <w:r w:rsidRPr="00CF5DB0">
        <w:rPr>
          <w:rFonts w:ascii="Times New Roman" w:hAnsi="Times New Roman" w:cs="Times New Roman"/>
          <w:i/>
          <w:iCs/>
        </w:rPr>
        <w:t>Chapters on Legal Discovery</w:t>
      </w:r>
      <w:r w:rsidRPr="00CF5DB0">
        <w:rPr>
          <w:rFonts w:ascii="Times New Roman" w:hAnsi="Times New Roman" w:cs="Times New Roman"/>
        </w:rPr>
        <w:t>, (Bandung: PT. Citra Aditya Bakti, 1993), p. 13.</w:t>
      </w:r>
    </w:p>
  </w:footnote>
  <w:footnote w:id="17">
    <w:p w14:paraId="54C26F5F" w14:textId="469CBC51" w:rsidR="007A14D4" w:rsidRPr="007A14D4" w:rsidRDefault="007A14D4" w:rsidP="007A14D4">
      <w:pPr>
        <w:pStyle w:val="FootnoteText"/>
        <w:jc w:val="both"/>
        <w:rPr>
          <w:rFonts w:ascii="Times New Roman" w:hAnsi="Times New Roman" w:cs="Times New Roman"/>
          <w:lang w:val="en-US"/>
        </w:rPr>
      </w:pPr>
      <w:r w:rsidRPr="007A14D4">
        <w:rPr>
          <w:rStyle w:val="FootnoteReference"/>
          <w:rFonts w:ascii="Times New Roman" w:hAnsi="Times New Roman" w:cs="Times New Roman"/>
        </w:rPr>
        <w:footnoteRef/>
      </w:r>
      <w:r w:rsidRPr="007A14D4">
        <w:rPr>
          <w:rFonts w:ascii="Times New Roman" w:hAnsi="Times New Roman" w:cs="Times New Roman"/>
        </w:rPr>
        <w:t xml:space="preserve"> J.A. Pontier, </w:t>
      </w:r>
      <w:r w:rsidRPr="007A14D4">
        <w:rPr>
          <w:rFonts w:ascii="Times New Roman" w:hAnsi="Times New Roman" w:cs="Times New Roman"/>
          <w:i/>
          <w:iCs/>
        </w:rPr>
        <w:t>The Discovery of Law</w:t>
      </w:r>
      <w:r w:rsidRPr="007A14D4">
        <w:rPr>
          <w:rFonts w:ascii="Times New Roman" w:hAnsi="Times New Roman" w:cs="Times New Roman"/>
        </w:rPr>
        <w:t>, translated by B. Arief Sidharta, (Bandung: Jendela Mas Pustaka, 2008), pp. 73-74.</w:t>
      </w:r>
    </w:p>
  </w:footnote>
  <w:footnote w:id="18">
    <w:p w14:paraId="2CA1337D" w14:textId="62065D41" w:rsidR="00F056B1" w:rsidRPr="00F056B1" w:rsidRDefault="00F056B1" w:rsidP="00F056B1">
      <w:pPr>
        <w:pStyle w:val="FootnoteText"/>
        <w:jc w:val="both"/>
        <w:rPr>
          <w:rFonts w:ascii="Times New Roman" w:hAnsi="Times New Roman" w:cs="Times New Roman"/>
          <w:lang w:val="en-US"/>
        </w:rPr>
      </w:pPr>
      <w:r w:rsidRPr="00F056B1">
        <w:rPr>
          <w:rStyle w:val="FootnoteReference"/>
          <w:rFonts w:ascii="Times New Roman" w:hAnsi="Times New Roman" w:cs="Times New Roman"/>
        </w:rPr>
        <w:footnoteRef/>
      </w:r>
      <w:r w:rsidRPr="00F056B1">
        <w:rPr>
          <w:rFonts w:ascii="Times New Roman" w:hAnsi="Times New Roman" w:cs="Times New Roman"/>
        </w:rPr>
        <w:t xml:space="preserve"> Urbanus Ura Weruin, Dwi Andayani B, St. Atalim, </w:t>
      </w:r>
      <w:r w:rsidRPr="00F056B1">
        <w:rPr>
          <w:rFonts w:ascii="Times New Roman" w:hAnsi="Times New Roman" w:cs="Times New Roman"/>
          <w:i/>
          <w:iCs/>
        </w:rPr>
        <w:t>Legal Hermeneutics: Principles and Rules of Legal Interpretation</w:t>
      </w:r>
      <w:r w:rsidRPr="00F056B1">
        <w:rPr>
          <w:rFonts w:ascii="Times New Roman" w:hAnsi="Times New Roman" w:cs="Times New Roman"/>
        </w:rPr>
        <w:t>," Journal of Constitution, Volume 13, Issue 1, March 2016, p. 101.</w:t>
      </w:r>
    </w:p>
  </w:footnote>
  <w:footnote w:id="19">
    <w:p w14:paraId="2D4C5406" w14:textId="41AEDBAB" w:rsidR="004F61ED" w:rsidRPr="004F61ED" w:rsidRDefault="004F61ED" w:rsidP="004F61ED">
      <w:pPr>
        <w:pStyle w:val="FootnoteText"/>
        <w:jc w:val="both"/>
        <w:rPr>
          <w:rFonts w:ascii="Times New Roman" w:hAnsi="Times New Roman" w:cs="Times New Roman"/>
          <w:lang w:val="en-US"/>
        </w:rPr>
      </w:pPr>
      <w:r w:rsidRPr="004F61ED">
        <w:rPr>
          <w:rStyle w:val="FootnoteReference"/>
          <w:rFonts w:ascii="Times New Roman" w:hAnsi="Times New Roman" w:cs="Times New Roman"/>
        </w:rPr>
        <w:footnoteRef/>
      </w:r>
      <w:r w:rsidRPr="004F61ED">
        <w:rPr>
          <w:rFonts w:ascii="Times New Roman" w:hAnsi="Times New Roman" w:cs="Times New Roman"/>
        </w:rPr>
        <w:t xml:space="preserve"> </w:t>
      </w:r>
      <w:r w:rsidRPr="004F61ED">
        <w:rPr>
          <w:rFonts w:ascii="Times New Roman" w:hAnsi="Times New Roman" w:cs="Times New Roman"/>
          <w:lang w:val="en-US"/>
        </w:rPr>
        <w:t>Sacipto Rahardjo, Op.cit, P. 95.</w:t>
      </w:r>
    </w:p>
  </w:footnote>
  <w:footnote w:id="20">
    <w:p w14:paraId="61CB75A3" w14:textId="1808C3BF" w:rsidR="00CA6CCD" w:rsidRPr="00CA6CCD" w:rsidRDefault="00CA6CCD" w:rsidP="00CA6CCD">
      <w:pPr>
        <w:pStyle w:val="FootnoteText"/>
        <w:jc w:val="both"/>
        <w:rPr>
          <w:rFonts w:ascii="Times New Roman" w:hAnsi="Times New Roman" w:cs="Times New Roman"/>
          <w:lang w:val="en-US"/>
        </w:rPr>
      </w:pPr>
      <w:r w:rsidRPr="00CA6CCD">
        <w:rPr>
          <w:rStyle w:val="FootnoteReference"/>
          <w:rFonts w:ascii="Times New Roman" w:hAnsi="Times New Roman" w:cs="Times New Roman"/>
        </w:rPr>
        <w:footnoteRef/>
      </w:r>
      <w:r w:rsidRPr="00CA6CCD">
        <w:rPr>
          <w:rFonts w:ascii="Times New Roman" w:hAnsi="Times New Roman" w:cs="Times New Roman"/>
        </w:rPr>
        <w:t xml:space="preserve"> </w:t>
      </w:r>
      <w:r w:rsidRPr="00CA6CCD">
        <w:rPr>
          <w:rFonts w:ascii="Times New Roman" w:hAnsi="Times New Roman" w:cs="Times New Roman"/>
          <w:lang w:val="id-ID"/>
        </w:rPr>
        <w:t>Sudikno Mertokusumo dan A. Pitlo, op.cit., hal. 19-20</w:t>
      </w:r>
    </w:p>
  </w:footnote>
  <w:footnote w:id="21">
    <w:p w14:paraId="6289F84E" w14:textId="067571B3" w:rsidR="00235DAC" w:rsidRPr="00265AB1" w:rsidRDefault="00235DAC" w:rsidP="00265AB1">
      <w:pPr>
        <w:pStyle w:val="FootnoteText"/>
        <w:jc w:val="both"/>
        <w:rPr>
          <w:rFonts w:ascii="Times New Roman" w:hAnsi="Times New Roman" w:cs="Times New Roman"/>
          <w:lang w:val="en-US"/>
        </w:rPr>
      </w:pPr>
      <w:r w:rsidRPr="00235DAC">
        <w:rPr>
          <w:rStyle w:val="FootnoteReference"/>
          <w:rFonts w:ascii="Times New Roman" w:hAnsi="Times New Roman" w:cs="Times New Roman"/>
        </w:rPr>
        <w:footnoteRef/>
      </w:r>
      <w:r w:rsidRPr="00235DAC">
        <w:rPr>
          <w:rFonts w:ascii="Times New Roman" w:hAnsi="Times New Roman" w:cs="Times New Roman"/>
        </w:rPr>
        <w:t xml:space="preserve"> </w:t>
      </w:r>
      <w:r w:rsidRPr="00235DAC">
        <w:rPr>
          <w:rFonts w:ascii="Times New Roman" w:hAnsi="Times New Roman" w:cs="Times New Roman"/>
          <w:lang w:val="id-ID"/>
        </w:rPr>
        <w:t>Ibid, hal. 14.</w:t>
      </w:r>
    </w:p>
  </w:footnote>
  <w:footnote w:id="22">
    <w:p w14:paraId="0F1D5BEF" w14:textId="168E1817" w:rsidR="00265AB1" w:rsidRPr="00265AB1" w:rsidRDefault="00265AB1" w:rsidP="00265AB1">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Ibid.</w:t>
      </w:r>
    </w:p>
  </w:footnote>
  <w:footnote w:id="23">
    <w:p w14:paraId="4511F891" w14:textId="2A56455B" w:rsidR="00265AB1" w:rsidRPr="00265AB1" w:rsidRDefault="00265AB1" w:rsidP="00265AB1">
      <w:pPr>
        <w:pStyle w:val="FootnoteText"/>
        <w:jc w:val="both"/>
        <w:rPr>
          <w:rFonts w:ascii="Times New Roman" w:hAnsi="Times New Roman" w:cs="Times New Roman"/>
          <w:lang w:val="en-US"/>
        </w:rPr>
      </w:pPr>
      <w:r w:rsidRPr="00265AB1">
        <w:rPr>
          <w:rStyle w:val="FootnoteReference"/>
          <w:rFonts w:ascii="Times New Roman" w:hAnsi="Times New Roman" w:cs="Times New Roman"/>
        </w:rPr>
        <w:footnoteRef/>
      </w:r>
      <w:r w:rsidRPr="00265AB1">
        <w:rPr>
          <w:rFonts w:ascii="Times New Roman" w:hAnsi="Times New Roman" w:cs="Times New Roman"/>
        </w:rPr>
        <w:t xml:space="preserve"> Article II of the Additional Provisions of the 1945 Constitution of the Republic of Indonesia states, "With the enactment of the amendments to this Constitution, the Constitution of the Republic of Indonesia consists of the Preamble and the articles.</w:t>
      </w:r>
    </w:p>
  </w:footnote>
  <w:footnote w:id="24">
    <w:p w14:paraId="7F15B078" w14:textId="401F5BB1" w:rsidR="00E81A8F" w:rsidRPr="00E81A8F" w:rsidRDefault="00E81A8F" w:rsidP="00E81A8F">
      <w:pPr>
        <w:pStyle w:val="FootnoteText"/>
        <w:jc w:val="both"/>
        <w:rPr>
          <w:rFonts w:ascii="Times New Roman" w:hAnsi="Times New Roman" w:cs="Times New Roman"/>
          <w:lang w:val="en-US"/>
        </w:rPr>
      </w:pPr>
      <w:r w:rsidRPr="00E81A8F">
        <w:rPr>
          <w:rStyle w:val="FootnoteReference"/>
          <w:rFonts w:ascii="Times New Roman" w:hAnsi="Times New Roman" w:cs="Times New Roman"/>
        </w:rPr>
        <w:footnoteRef/>
      </w:r>
      <w:r w:rsidRPr="00E81A8F">
        <w:rPr>
          <w:rFonts w:ascii="Times New Roman" w:hAnsi="Times New Roman" w:cs="Times New Roman"/>
        </w:rPr>
        <w:t xml:space="preserve"> Article 20, Paragraph (2) of the 1945 Constitution of the Republic of Indonesia states: "Every draft law shall be discussed by the House of Representatives (DPR) and the President to obtain mutual agreement."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6CD7"/>
    <w:multiLevelType w:val="hybridMultilevel"/>
    <w:tmpl w:val="6FC8D0A6"/>
    <w:lvl w:ilvl="0" w:tplc="D8B2B95C">
      <w:start w:val="1"/>
      <w:numFmt w:val="decimal"/>
      <w:lvlText w:val="(%1)"/>
      <w:lvlJc w:val="left"/>
      <w:pPr>
        <w:ind w:left="1251" w:hanging="40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F64237"/>
    <w:multiLevelType w:val="hybridMultilevel"/>
    <w:tmpl w:val="E26E15AC"/>
    <w:lvl w:ilvl="0" w:tplc="38090019">
      <w:start w:val="1"/>
      <w:numFmt w:val="lowerLetter"/>
      <w:lvlText w:val="%1."/>
      <w:lvlJc w:val="left"/>
      <w:pPr>
        <w:ind w:left="720" w:hanging="360"/>
      </w:pPr>
      <w:rPr>
        <w:rFonts w:hint="default"/>
      </w:rPr>
    </w:lvl>
    <w:lvl w:ilvl="1" w:tplc="B2F60E5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49578D"/>
    <w:multiLevelType w:val="hybridMultilevel"/>
    <w:tmpl w:val="8098BABC"/>
    <w:lvl w:ilvl="0" w:tplc="D8B2B95C">
      <w:start w:val="1"/>
      <w:numFmt w:val="decimal"/>
      <w:lvlText w:val="(%1)"/>
      <w:lvlJc w:val="left"/>
      <w:pPr>
        <w:ind w:left="1251" w:hanging="40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15:restartNumberingAfterBreak="0">
    <w:nsid w:val="17C92F18"/>
    <w:multiLevelType w:val="hybridMultilevel"/>
    <w:tmpl w:val="DA22E4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C0592F"/>
    <w:multiLevelType w:val="hybridMultilevel"/>
    <w:tmpl w:val="E2FED1CC"/>
    <w:lvl w:ilvl="0" w:tplc="3C4CAF5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9082819"/>
    <w:multiLevelType w:val="multilevel"/>
    <w:tmpl w:val="FFEA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51C6E"/>
    <w:multiLevelType w:val="hybridMultilevel"/>
    <w:tmpl w:val="D4EC1092"/>
    <w:lvl w:ilvl="0" w:tplc="92E49DCA">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43A95C88"/>
    <w:multiLevelType w:val="hybridMultilevel"/>
    <w:tmpl w:val="A48E8654"/>
    <w:lvl w:ilvl="0" w:tplc="38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9463A57"/>
    <w:multiLevelType w:val="hybridMultilevel"/>
    <w:tmpl w:val="1D3037A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BF37161"/>
    <w:multiLevelType w:val="hybridMultilevel"/>
    <w:tmpl w:val="C8248A12"/>
    <w:lvl w:ilvl="0" w:tplc="28E666A4">
      <w:start w:val="1"/>
      <w:numFmt w:val="lowerLetter"/>
      <w:lvlText w:val="%1."/>
      <w:lvlJc w:val="righ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0" w15:restartNumberingAfterBreak="0">
    <w:nsid w:val="4D55730F"/>
    <w:multiLevelType w:val="multilevel"/>
    <w:tmpl w:val="BA282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F567F"/>
    <w:multiLevelType w:val="hybridMultilevel"/>
    <w:tmpl w:val="18AE2854"/>
    <w:lvl w:ilvl="0" w:tplc="3C4CAF56">
      <w:start w:val="1"/>
      <w:numFmt w:val="lowerLetter"/>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2" w15:restartNumberingAfterBreak="0">
    <w:nsid w:val="635579F4"/>
    <w:multiLevelType w:val="multilevel"/>
    <w:tmpl w:val="A33A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D6C6F"/>
    <w:multiLevelType w:val="hybridMultilevel"/>
    <w:tmpl w:val="57C44E8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6CAB1F11"/>
    <w:multiLevelType w:val="hybridMultilevel"/>
    <w:tmpl w:val="AB7094F2"/>
    <w:lvl w:ilvl="0" w:tplc="56BCFB3A">
      <w:start w:val="1"/>
      <w:numFmt w:val="lowerLetter"/>
      <w:lvlText w:val="%1."/>
      <w:lvlJc w:val="left"/>
      <w:pPr>
        <w:ind w:left="1611" w:hanging="360"/>
      </w:pPr>
      <w:rPr>
        <w:rFonts w:hint="default"/>
      </w:rPr>
    </w:lvl>
    <w:lvl w:ilvl="1" w:tplc="B308E126">
      <w:start w:val="1"/>
      <w:numFmt w:val="decimal"/>
      <w:lvlText w:val="(%2)"/>
      <w:lvlJc w:val="left"/>
      <w:pPr>
        <w:ind w:left="2361" w:hanging="390"/>
      </w:pPr>
      <w:rPr>
        <w:rFonts w:hint="default"/>
      </w:rPr>
    </w:lvl>
    <w:lvl w:ilvl="2" w:tplc="3809001B" w:tentative="1">
      <w:start w:val="1"/>
      <w:numFmt w:val="lowerRoman"/>
      <w:lvlText w:val="%3."/>
      <w:lvlJc w:val="right"/>
      <w:pPr>
        <w:ind w:left="3051" w:hanging="180"/>
      </w:pPr>
    </w:lvl>
    <w:lvl w:ilvl="3" w:tplc="3809000F" w:tentative="1">
      <w:start w:val="1"/>
      <w:numFmt w:val="decimal"/>
      <w:lvlText w:val="%4."/>
      <w:lvlJc w:val="left"/>
      <w:pPr>
        <w:ind w:left="3771" w:hanging="360"/>
      </w:pPr>
    </w:lvl>
    <w:lvl w:ilvl="4" w:tplc="38090019" w:tentative="1">
      <w:start w:val="1"/>
      <w:numFmt w:val="lowerLetter"/>
      <w:lvlText w:val="%5."/>
      <w:lvlJc w:val="left"/>
      <w:pPr>
        <w:ind w:left="4491" w:hanging="360"/>
      </w:pPr>
    </w:lvl>
    <w:lvl w:ilvl="5" w:tplc="3809001B" w:tentative="1">
      <w:start w:val="1"/>
      <w:numFmt w:val="lowerRoman"/>
      <w:lvlText w:val="%6."/>
      <w:lvlJc w:val="right"/>
      <w:pPr>
        <w:ind w:left="5211" w:hanging="180"/>
      </w:pPr>
    </w:lvl>
    <w:lvl w:ilvl="6" w:tplc="3809000F" w:tentative="1">
      <w:start w:val="1"/>
      <w:numFmt w:val="decimal"/>
      <w:lvlText w:val="%7."/>
      <w:lvlJc w:val="left"/>
      <w:pPr>
        <w:ind w:left="5931" w:hanging="360"/>
      </w:pPr>
    </w:lvl>
    <w:lvl w:ilvl="7" w:tplc="38090019" w:tentative="1">
      <w:start w:val="1"/>
      <w:numFmt w:val="lowerLetter"/>
      <w:lvlText w:val="%8."/>
      <w:lvlJc w:val="left"/>
      <w:pPr>
        <w:ind w:left="6651" w:hanging="360"/>
      </w:pPr>
    </w:lvl>
    <w:lvl w:ilvl="8" w:tplc="3809001B" w:tentative="1">
      <w:start w:val="1"/>
      <w:numFmt w:val="lowerRoman"/>
      <w:lvlText w:val="%9."/>
      <w:lvlJc w:val="right"/>
      <w:pPr>
        <w:ind w:left="7371" w:hanging="180"/>
      </w:pPr>
    </w:lvl>
  </w:abstractNum>
  <w:abstractNum w:abstractNumId="15" w15:restartNumberingAfterBreak="0">
    <w:nsid w:val="6D0358AE"/>
    <w:multiLevelType w:val="hybridMultilevel"/>
    <w:tmpl w:val="B7BADDA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22306EA"/>
    <w:multiLevelType w:val="hybridMultilevel"/>
    <w:tmpl w:val="CE9492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7F24096"/>
    <w:multiLevelType w:val="hybridMultilevel"/>
    <w:tmpl w:val="F746CD28"/>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16cid:durableId="210922740">
    <w:abstractNumId w:val="10"/>
  </w:num>
  <w:num w:numId="2" w16cid:durableId="841431141">
    <w:abstractNumId w:val="9"/>
  </w:num>
  <w:num w:numId="3" w16cid:durableId="2010937800">
    <w:abstractNumId w:val="6"/>
  </w:num>
  <w:num w:numId="4" w16cid:durableId="1128860547">
    <w:abstractNumId w:val="5"/>
  </w:num>
  <w:num w:numId="5" w16cid:durableId="820148455">
    <w:abstractNumId w:val="3"/>
  </w:num>
  <w:num w:numId="6" w16cid:durableId="1049106717">
    <w:abstractNumId w:val="4"/>
  </w:num>
  <w:num w:numId="7" w16cid:durableId="314455298">
    <w:abstractNumId w:val="11"/>
  </w:num>
  <w:num w:numId="8" w16cid:durableId="1072317590">
    <w:abstractNumId w:val="2"/>
  </w:num>
  <w:num w:numId="9" w16cid:durableId="284775994">
    <w:abstractNumId w:val="14"/>
  </w:num>
  <w:num w:numId="10" w16cid:durableId="742415362">
    <w:abstractNumId w:val="0"/>
  </w:num>
  <w:num w:numId="11" w16cid:durableId="1427382580">
    <w:abstractNumId w:val="16"/>
  </w:num>
  <w:num w:numId="12" w16cid:durableId="1385641387">
    <w:abstractNumId w:val="1"/>
  </w:num>
  <w:num w:numId="13" w16cid:durableId="969356857">
    <w:abstractNumId w:val="15"/>
  </w:num>
  <w:num w:numId="14" w16cid:durableId="189759046">
    <w:abstractNumId w:val="8"/>
  </w:num>
  <w:num w:numId="15" w16cid:durableId="263730679">
    <w:abstractNumId w:val="17"/>
  </w:num>
  <w:num w:numId="16" w16cid:durableId="1155335447">
    <w:abstractNumId w:val="13"/>
  </w:num>
  <w:num w:numId="17" w16cid:durableId="570896929">
    <w:abstractNumId w:val="7"/>
  </w:num>
  <w:num w:numId="18" w16cid:durableId="1724258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77"/>
    <w:rsid w:val="00017CD6"/>
    <w:rsid w:val="00080CE0"/>
    <w:rsid w:val="000A0CDA"/>
    <w:rsid w:val="000B5B77"/>
    <w:rsid w:val="001067A8"/>
    <w:rsid w:val="0014428E"/>
    <w:rsid w:val="00160FAA"/>
    <w:rsid w:val="0017002D"/>
    <w:rsid w:val="00174E27"/>
    <w:rsid w:val="001958B5"/>
    <w:rsid w:val="001F5E90"/>
    <w:rsid w:val="002054CB"/>
    <w:rsid w:val="00235DAC"/>
    <w:rsid w:val="00265AB1"/>
    <w:rsid w:val="002802DC"/>
    <w:rsid w:val="00330456"/>
    <w:rsid w:val="003A523E"/>
    <w:rsid w:val="003B5636"/>
    <w:rsid w:val="003E5D75"/>
    <w:rsid w:val="00437A23"/>
    <w:rsid w:val="00447929"/>
    <w:rsid w:val="004B00AC"/>
    <w:rsid w:val="004F61ED"/>
    <w:rsid w:val="005465A7"/>
    <w:rsid w:val="00553FB5"/>
    <w:rsid w:val="005C60E6"/>
    <w:rsid w:val="007054A7"/>
    <w:rsid w:val="007142C7"/>
    <w:rsid w:val="00770E9E"/>
    <w:rsid w:val="00796891"/>
    <w:rsid w:val="007969F9"/>
    <w:rsid w:val="007A14D4"/>
    <w:rsid w:val="007B0502"/>
    <w:rsid w:val="00834DAF"/>
    <w:rsid w:val="00853F5B"/>
    <w:rsid w:val="008922A7"/>
    <w:rsid w:val="00937A3A"/>
    <w:rsid w:val="009C57AC"/>
    <w:rsid w:val="00A22F22"/>
    <w:rsid w:val="00A4511A"/>
    <w:rsid w:val="00A54F61"/>
    <w:rsid w:val="00A5728A"/>
    <w:rsid w:val="00B72D82"/>
    <w:rsid w:val="00B92020"/>
    <w:rsid w:val="00BE7C2E"/>
    <w:rsid w:val="00C44E6B"/>
    <w:rsid w:val="00C85FFC"/>
    <w:rsid w:val="00CA6CCD"/>
    <w:rsid w:val="00CB68D5"/>
    <w:rsid w:val="00CB6A9E"/>
    <w:rsid w:val="00CF5DB0"/>
    <w:rsid w:val="00DA5EB0"/>
    <w:rsid w:val="00DB1D8E"/>
    <w:rsid w:val="00DC5C2C"/>
    <w:rsid w:val="00E07077"/>
    <w:rsid w:val="00E070BD"/>
    <w:rsid w:val="00E81A8F"/>
    <w:rsid w:val="00E85557"/>
    <w:rsid w:val="00EC547C"/>
    <w:rsid w:val="00EE73BF"/>
    <w:rsid w:val="00F056B1"/>
    <w:rsid w:val="00F80A35"/>
    <w:rsid w:val="00F84677"/>
    <w:rsid w:val="00FF3D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1683"/>
  <w15:chartTrackingRefBased/>
  <w15:docId w15:val="{988AE98B-B87C-462B-AEF1-CE5AD95D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70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7077"/>
    <w:rPr>
      <w:sz w:val="20"/>
      <w:szCs w:val="20"/>
    </w:rPr>
  </w:style>
  <w:style w:type="character" w:styleId="FootnoteReference">
    <w:name w:val="footnote reference"/>
    <w:basedOn w:val="DefaultParagraphFont"/>
    <w:uiPriority w:val="99"/>
    <w:semiHidden/>
    <w:unhideWhenUsed/>
    <w:rsid w:val="00E07077"/>
    <w:rPr>
      <w:vertAlign w:val="superscript"/>
    </w:rPr>
  </w:style>
  <w:style w:type="character" w:styleId="Hyperlink">
    <w:name w:val="Hyperlink"/>
    <w:basedOn w:val="DefaultParagraphFont"/>
    <w:uiPriority w:val="99"/>
    <w:unhideWhenUsed/>
    <w:rsid w:val="00E07077"/>
    <w:rPr>
      <w:color w:val="0563C1" w:themeColor="hyperlink"/>
      <w:u w:val="single"/>
    </w:rPr>
  </w:style>
  <w:style w:type="character" w:styleId="UnresolvedMention">
    <w:name w:val="Unresolved Mention"/>
    <w:basedOn w:val="DefaultParagraphFont"/>
    <w:uiPriority w:val="99"/>
    <w:semiHidden/>
    <w:unhideWhenUsed/>
    <w:rsid w:val="00E07077"/>
    <w:rPr>
      <w:color w:val="605E5C"/>
      <w:shd w:val="clear" w:color="auto" w:fill="E1DFDD"/>
    </w:rPr>
  </w:style>
  <w:style w:type="paragraph" w:styleId="ListParagraph">
    <w:name w:val="List Paragraph"/>
    <w:basedOn w:val="Normal"/>
    <w:uiPriority w:val="34"/>
    <w:qFormat/>
    <w:rsid w:val="00BE7C2E"/>
    <w:pPr>
      <w:ind w:left="720"/>
      <w:contextualSpacing/>
    </w:pPr>
  </w:style>
  <w:style w:type="paragraph" w:styleId="NormalWeb">
    <w:name w:val="Normal (Web)"/>
    <w:basedOn w:val="Normal"/>
    <w:uiPriority w:val="99"/>
    <w:semiHidden/>
    <w:unhideWhenUsed/>
    <w:rsid w:val="00B920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10804">
      <w:bodyDiv w:val="1"/>
      <w:marLeft w:val="0"/>
      <w:marRight w:val="0"/>
      <w:marTop w:val="0"/>
      <w:marBottom w:val="0"/>
      <w:divBdr>
        <w:top w:val="none" w:sz="0" w:space="0" w:color="auto"/>
        <w:left w:val="none" w:sz="0" w:space="0" w:color="auto"/>
        <w:bottom w:val="none" w:sz="0" w:space="0" w:color="auto"/>
        <w:right w:val="none" w:sz="0" w:space="0" w:color="auto"/>
      </w:divBdr>
    </w:div>
    <w:div w:id="133454215">
      <w:bodyDiv w:val="1"/>
      <w:marLeft w:val="0"/>
      <w:marRight w:val="0"/>
      <w:marTop w:val="0"/>
      <w:marBottom w:val="0"/>
      <w:divBdr>
        <w:top w:val="none" w:sz="0" w:space="0" w:color="auto"/>
        <w:left w:val="none" w:sz="0" w:space="0" w:color="auto"/>
        <w:bottom w:val="none" w:sz="0" w:space="0" w:color="auto"/>
        <w:right w:val="none" w:sz="0" w:space="0" w:color="auto"/>
      </w:divBdr>
    </w:div>
    <w:div w:id="287668796">
      <w:bodyDiv w:val="1"/>
      <w:marLeft w:val="0"/>
      <w:marRight w:val="0"/>
      <w:marTop w:val="0"/>
      <w:marBottom w:val="0"/>
      <w:divBdr>
        <w:top w:val="none" w:sz="0" w:space="0" w:color="auto"/>
        <w:left w:val="none" w:sz="0" w:space="0" w:color="auto"/>
        <w:bottom w:val="none" w:sz="0" w:space="0" w:color="auto"/>
        <w:right w:val="none" w:sz="0" w:space="0" w:color="auto"/>
      </w:divBdr>
    </w:div>
    <w:div w:id="333069774">
      <w:bodyDiv w:val="1"/>
      <w:marLeft w:val="0"/>
      <w:marRight w:val="0"/>
      <w:marTop w:val="0"/>
      <w:marBottom w:val="0"/>
      <w:divBdr>
        <w:top w:val="none" w:sz="0" w:space="0" w:color="auto"/>
        <w:left w:val="none" w:sz="0" w:space="0" w:color="auto"/>
        <w:bottom w:val="none" w:sz="0" w:space="0" w:color="auto"/>
        <w:right w:val="none" w:sz="0" w:space="0" w:color="auto"/>
      </w:divBdr>
    </w:div>
    <w:div w:id="356198537">
      <w:bodyDiv w:val="1"/>
      <w:marLeft w:val="0"/>
      <w:marRight w:val="0"/>
      <w:marTop w:val="0"/>
      <w:marBottom w:val="0"/>
      <w:divBdr>
        <w:top w:val="none" w:sz="0" w:space="0" w:color="auto"/>
        <w:left w:val="none" w:sz="0" w:space="0" w:color="auto"/>
        <w:bottom w:val="none" w:sz="0" w:space="0" w:color="auto"/>
        <w:right w:val="none" w:sz="0" w:space="0" w:color="auto"/>
      </w:divBdr>
    </w:div>
    <w:div w:id="400639836">
      <w:bodyDiv w:val="1"/>
      <w:marLeft w:val="0"/>
      <w:marRight w:val="0"/>
      <w:marTop w:val="0"/>
      <w:marBottom w:val="0"/>
      <w:divBdr>
        <w:top w:val="none" w:sz="0" w:space="0" w:color="auto"/>
        <w:left w:val="none" w:sz="0" w:space="0" w:color="auto"/>
        <w:bottom w:val="none" w:sz="0" w:space="0" w:color="auto"/>
        <w:right w:val="none" w:sz="0" w:space="0" w:color="auto"/>
      </w:divBdr>
    </w:div>
    <w:div w:id="589436524">
      <w:bodyDiv w:val="1"/>
      <w:marLeft w:val="0"/>
      <w:marRight w:val="0"/>
      <w:marTop w:val="0"/>
      <w:marBottom w:val="0"/>
      <w:divBdr>
        <w:top w:val="none" w:sz="0" w:space="0" w:color="auto"/>
        <w:left w:val="none" w:sz="0" w:space="0" w:color="auto"/>
        <w:bottom w:val="none" w:sz="0" w:space="0" w:color="auto"/>
        <w:right w:val="none" w:sz="0" w:space="0" w:color="auto"/>
      </w:divBdr>
    </w:div>
    <w:div w:id="698429130">
      <w:bodyDiv w:val="1"/>
      <w:marLeft w:val="0"/>
      <w:marRight w:val="0"/>
      <w:marTop w:val="0"/>
      <w:marBottom w:val="0"/>
      <w:divBdr>
        <w:top w:val="none" w:sz="0" w:space="0" w:color="auto"/>
        <w:left w:val="none" w:sz="0" w:space="0" w:color="auto"/>
        <w:bottom w:val="none" w:sz="0" w:space="0" w:color="auto"/>
        <w:right w:val="none" w:sz="0" w:space="0" w:color="auto"/>
      </w:divBdr>
    </w:div>
    <w:div w:id="1176964255">
      <w:bodyDiv w:val="1"/>
      <w:marLeft w:val="0"/>
      <w:marRight w:val="0"/>
      <w:marTop w:val="0"/>
      <w:marBottom w:val="0"/>
      <w:divBdr>
        <w:top w:val="none" w:sz="0" w:space="0" w:color="auto"/>
        <w:left w:val="none" w:sz="0" w:space="0" w:color="auto"/>
        <w:bottom w:val="none" w:sz="0" w:space="0" w:color="auto"/>
        <w:right w:val="none" w:sz="0" w:space="0" w:color="auto"/>
      </w:divBdr>
    </w:div>
    <w:div w:id="1213076685">
      <w:bodyDiv w:val="1"/>
      <w:marLeft w:val="0"/>
      <w:marRight w:val="0"/>
      <w:marTop w:val="0"/>
      <w:marBottom w:val="0"/>
      <w:divBdr>
        <w:top w:val="none" w:sz="0" w:space="0" w:color="auto"/>
        <w:left w:val="none" w:sz="0" w:space="0" w:color="auto"/>
        <w:bottom w:val="none" w:sz="0" w:space="0" w:color="auto"/>
        <w:right w:val="none" w:sz="0" w:space="0" w:color="auto"/>
      </w:divBdr>
    </w:div>
    <w:div w:id="1225876348">
      <w:bodyDiv w:val="1"/>
      <w:marLeft w:val="0"/>
      <w:marRight w:val="0"/>
      <w:marTop w:val="0"/>
      <w:marBottom w:val="0"/>
      <w:divBdr>
        <w:top w:val="none" w:sz="0" w:space="0" w:color="auto"/>
        <w:left w:val="none" w:sz="0" w:space="0" w:color="auto"/>
        <w:bottom w:val="none" w:sz="0" w:space="0" w:color="auto"/>
        <w:right w:val="none" w:sz="0" w:space="0" w:color="auto"/>
      </w:divBdr>
    </w:div>
    <w:div w:id="1263566722">
      <w:bodyDiv w:val="1"/>
      <w:marLeft w:val="0"/>
      <w:marRight w:val="0"/>
      <w:marTop w:val="0"/>
      <w:marBottom w:val="0"/>
      <w:divBdr>
        <w:top w:val="none" w:sz="0" w:space="0" w:color="auto"/>
        <w:left w:val="none" w:sz="0" w:space="0" w:color="auto"/>
        <w:bottom w:val="none" w:sz="0" w:space="0" w:color="auto"/>
        <w:right w:val="none" w:sz="0" w:space="0" w:color="auto"/>
      </w:divBdr>
    </w:div>
    <w:div w:id="1307516306">
      <w:bodyDiv w:val="1"/>
      <w:marLeft w:val="0"/>
      <w:marRight w:val="0"/>
      <w:marTop w:val="0"/>
      <w:marBottom w:val="0"/>
      <w:divBdr>
        <w:top w:val="none" w:sz="0" w:space="0" w:color="auto"/>
        <w:left w:val="none" w:sz="0" w:space="0" w:color="auto"/>
        <w:bottom w:val="none" w:sz="0" w:space="0" w:color="auto"/>
        <w:right w:val="none" w:sz="0" w:space="0" w:color="auto"/>
      </w:divBdr>
    </w:div>
    <w:div w:id="1368993574">
      <w:bodyDiv w:val="1"/>
      <w:marLeft w:val="0"/>
      <w:marRight w:val="0"/>
      <w:marTop w:val="0"/>
      <w:marBottom w:val="0"/>
      <w:divBdr>
        <w:top w:val="none" w:sz="0" w:space="0" w:color="auto"/>
        <w:left w:val="none" w:sz="0" w:space="0" w:color="auto"/>
        <w:bottom w:val="none" w:sz="0" w:space="0" w:color="auto"/>
        <w:right w:val="none" w:sz="0" w:space="0" w:color="auto"/>
      </w:divBdr>
    </w:div>
    <w:div w:id="1530096908">
      <w:bodyDiv w:val="1"/>
      <w:marLeft w:val="0"/>
      <w:marRight w:val="0"/>
      <w:marTop w:val="0"/>
      <w:marBottom w:val="0"/>
      <w:divBdr>
        <w:top w:val="none" w:sz="0" w:space="0" w:color="auto"/>
        <w:left w:val="none" w:sz="0" w:space="0" w:color="auto"/>
        <w:bottom w:val="none" w:sz="0" w:space="0" w:color="auto"/>
        <w:right w:val="none" w:sz="0" w:space="0" w:color="auto"/>
      </w:divBdr>
    </w:div>
    <w:div w:id="1539776299">
      <w:bodyDiv w:val="1"/>
      <w:marLeft w:val="0"/>
      <w:marRight w:val="0"/>
      <w:marTop w:val="0"/>
      <w:marBottom w:val="0"/>
      <w:divBdr>
        <w:top w:val="none" w:sz="0" w:space="0" w:color="auto"/>
        <w:left w:val="none" w:sz="0" w:space="0" w:color="auto"/>
        <w:bottom w:val="none" w:sz="0" w:space="0" w:color="auto"/>
        <w:right w:val="none" w:sz="0" w:space="0" w:color="auto"/>
      </w:divBdr>
    </w:div>
    <w:div w:id="1694068315">
      <w:bodyDiv w:val="1"/>
      <w:marLeft w:val="0"/>
      <w:marRight w:val="0"/>
      <w:marTop w:val="0"/>
      <w:marBottom w:val="0"/>
      <w:divBdr>
        <w:top w:val="none" w:sz="0" w:space="0" w:color="auto"/>
        <w:left w:val="none" w:sz="0" w:space="0" w:color="auto"/>
        <w:bottom w:val="none" w:sz="0" w:space="0" w:color="auto"/>
        <w:right w:val="none" w:sz="0" w:space="0" w:color="auto"/>
      </w:divBdr>
    </w:div>
    <w:div w:id="1785078226">
      <w:bodyDiv w:val="1"/>
      <w:marLeft w:val="0"/>
      <w:marRight w:val="0"/>
      <w:marTop w:val="0"/>
      <w:marBottom w:val="0"/>
      <w:divBdr>
        <w:top w:val="none" w:sz="0" w:space="0" w:color="auto"/>
        <w:left w:val="none" w:sz="0" w:space="0" w:color="auto"/>
        <w:bottom w:val="none" w:sz="0" w:space="0" w:color="auto"/>
        <w:right w:val="none" w:sz="0" w:space="0" w:color="auto"/>
      </w:divBdr>
    </w:div>
    <w:div w:id="20137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hest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5A338-B9C9-4EB0-B828-E1807747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24</Pages>
  <Words>9212</Words>
  <Characters>52511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Benediktus Hestu</dc:creator>
  <cp:keywords/>
  <dc:description/>
  <cp:lastModifiedBy>Benediktus Hestu</cp:lastModifiedBy>
  <cp:revision>36</cp:revision>
  <dcterms:created xsi:type="dcterms:W3CDTF">2024-10-09T11:38:00Z</dcterms:created>
  <dcterms:modified xsi:type="dcterms:W3CDTF">2024-10-10T07:19:00Z</dcterms:modified>
</cp:coreProperties>
</file>